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Theme="minorEastAsia" w:hAnsiTheme="minorEastAsia" w:eastAsiaTheme="minorEastAsia" w:cstheme="minorEastAsia"/>
          <w:b/>
          <w:bCs/>
          <w:kern w:val="0"/>
          <w:sz w:val="44"/>
          <w:szCs w:val="44"/>
          <w:lang w:val="en-US" w:eastAsia="zh-CN" w:bidi="ar"/>
        </w:rPr>
      </w:pPr>
    </w:p>
    <w:p>
      <w:pPr>
        <w:keepNext w:val="0"/>
        <w:keepLines w:val="0"/>
        <w:widowControl/>
        <w:suppressLineNumbers w:val="0"/>
        <w:jc w:val="center"/>
        <w:rPr>
          <w:rFonts w:hint="eastAsia" w:asciiTheme="minorEastAsia" w:hAnsiTheme="minorEastAsia" w:eastAsiaTheme="minorEastAsia" w:cstheme="minorEastAsia"/>
          <w:b/>
          <w:bCs/>
          <w:sz w:val="44"/>
          <w:szCs w:val="44"/>
        </w:rPr>
      </w:pPr>
      <w:bookmarkStart w:id="0" w:name="_GoBack"/>
      <w:bookmarkEnd w:id="0"/>
      <w:r>
        <w:rPr>
          <w:rFonts w:hint="eastAsia" w:asciiTheme="minorEastAsia" w:hAnsiTheme="minorEastAsia" w:eastAsiaTheme="minorEastAsia" w:cstheme="minorEastAsia"/>
          <w:b/>
          <w:bCs/>
          <w:kern w:val="0"/>
          <w:sz w:val="44"/>
          <w:szCs w:val="44"/>
          <w:lang w:val="en-US" w:eastAsia="zh-CN" w:bidi="ar"/>
        </w:rPr>
        <w:t>私募产品防雷手册（身份资质篇）</w:t>
      </w:r>
    </w:p>
    <w:p>
      <w:pPr>
        <w:pStyle w:val="2"/>
        <w:keepNext w:val="0"/>
        <w:keepLines w:val="0"/>
        <w:widowControl/>
        <w:suppressLineNumbers w:val="0"/>
        <w:jc w:val="both"/>
        <w:rPr>
          <w:rFonts w:hint="eastAsia" w:ascii="仿宋" w:hAnsi="仿宋" w:eastAsia="仿宋" w:cs="仿宋"/>
        </w:rPr>
      </w:pPr>
      <w:r>
        <w:rPr>
          <w:rFonts w:hint="eastAsia" w:ascii="仿宋" w:hAnsi="仿宋" w:eastAsia="仿宋" w:cs="仿宋"/>
          <w:sz w:val="32"/>
          <w:szCs w:val="32"/>
        </w:rPr>
        <w:t>　　私募基金募集机构在投资者身份资质的管理上做得好不好，是识别违规私募的“照妖镜”之一。其中三个环节最易“埋雷”：投资者不达标，投资者人数超限，不进行投资者适当性评估匹配。　</w:t>
      </w:r>
    </w:p>
    <w:p>
      <w:pPr>
        <w:pStyle w:val="2"/>
        <w:keepNext w:val="0"/>
        <w:keepLines w:val="0"/>
        <w:widowControl/>
        <w:suppressLineNumbers w:val="0"/>
        <w:jc w:val="both"/>
        <w:rPr>
          <w:rFonts w:hint="eastAsia" w:ascii="仿宋" w:hAnsi="仿宋" w:eastAsia="仿宋" w:cs="仿宋"/>
        </w:rPr>
      </w:pPr>
      <w:r>
        <w:rPr>
          <w:rFonts w:hint="eastAsia" w:ascii="仿宋" w:hAnsi="仿宋" w:eastAsia="仿宋" w:cs="仿宋"/>
          <w:sz w:val="32"/>
          <w:szCs w:val="32"/>
        </w:rPr>
        <w:t>　　雷区一 投资者不达标——警惕成为“错的人”</w:t>
      </w:r>
    </w:p>
    <w:p>
      <w:pPr>
        <w:pStyle w:val="2"/>
        <w:keepNext w:val="0"/>
        <w:keepLines w:val="0"/>
        <w:widowControl/>
        <w:suppressLineNumbers w:val="0"/>
        <w:jc w:val="both"/>
        <w:rPr>
          <w:rFonts w:hint="eastAsia" w:ascii="仿宋" w:hAnsi="仿宋" w:eastAsia="仿宋" w:cs="仿宋"/>
        </w:rPr>
      </w:pPr>
      <w:r>
        <w:rPr>
          <w:rFonts w:hint="eastAsia" w:ascii="仿宋" w:hAnsi="仿宋" w:eastAsia="仿宋" w:cs="仿宋"/>
          <w:sz w:val="32"/>
          <w:szCs w:val="32"/>
        </w:rPr>
        <w:t>　　私募基金投资者必须是“合格投资者”，具备相应条件和风险识别与承担能力。那么，什么样的个人才算得上合格投资者？</w:t>
      </w:r>
    </w:p>
    <w:p>
      <w:pPr>
        <w:pStyle w:val="2"/>
        <w:keepNext w:val="0"/>
        <w:keepLines w:val="0"/>
        <w:widowControl/>
        <w:suppressLineNumbers w:val="0"/>
        <w:jc w:val="both"/>
        <w:rPr>
          <w:rFonts w:hint="eastAsia" w:ascii="仿宋" w:hAnsi="仿宋" w:eastAsia="仿宋" w:cs="仿宋"/>
        </w:rPr>
      </w:pPr>
      <w:r>
        <w:rPr>
          <w:rFonts w:hint="eastAsia" w:ascii="仿宋" w:hAnsi="仿宋" w:eastAsia="仿宋" w:cs="仿宋"/>
          <w:sz w:val="32"/>
          <w:szCs w:val="32"/>
        </w:rPr>
        <w:t>　　根据规定，私募基金的个人合格投资者应满足下列条件：</w:t>
      </w:r>
    </w:p>
    <w:p>
      <w:pPr>
        <w:pStyle w:val="2"/>
        <w:keepNext w:val="0"/>
        <w:keepLines w:val="0"/>
        <w:widowControl/>
        <w:suppressLineNumbers w:val="0"/>
        <w:jc w:val="both"/>
        <w:rPr>
          <w:rFonts w:hint="eastAsia" w:ascii="仿宋" w:hAnsi="仿宋" w:eastAsia="仿宋" w:cs="仿宋"/>
        </w:rPr>
      </w:pPr>
      <w:r>
        <w:rPr>
          <w:rFonts w:hint="eastAsia" w:ascii="仿宋" w:hAnsi="仿宋" w:eastAsia="仿宋" w:cs="仿宋"/>
          <w:sz w:val="32"/>
          <w:szCs w:val="32"/>
        </w:rPr>
        <w:t>　　（1）具备相应风险识别能力和风险承担能力；</w:t>
      </w:r>
    </w:p>
    <w:p>
      <w:pPr>
        <w:pStyle w:val="2"/>
        <w:keepNext w:val="0"/>
        <w:keepLines w:val="0"/>
        <w:widowControl/>
        <w:suppressLineNumbers w:val="0"/>
        <w:jc w:val="both"/>
        <w:rPr>
          <w:rFonts w:hint="eastAsia" w:ascii="仿宋" w:hAnsi="仿宋" w:eastAsia="仿宋" w:cs="仿宋"/>
        </w:rPr>
      </w:pPr>
      <w:r>
        <w:rPr>
          <w:rFonts w:hint="eastAsia" w:ascii="仿宋" w:hAnsi="仿宋" w:eastAsia="仿宋" w:cs="仿宋"/>
          <w:sz w:val="32"/>
          <w:szCs w:val="32"/>
        </w:rPr>
        <w:t>　　（2）投资于单只私募基金的金额不低于 100 万元；</w:t>
      </w:r>
    </w:p>
    <w:p>
      <w:pPr>
        <w:pStyle w:val="2"/>
        <w:keepNext w:val="0"/>
        <w:keepLines w:val="0"/>
        <w:widowControl/>
        <w:suppressLineNumbers w:val="0"/>
        <w:jc w:val="both"/>
        <w:rPr>
          <w:rFonts w:hint="eastAsia" w:ascii="仿宋" w:hAnsi="仿宋" w:eastAsia="仿宋" w:cs="仿宋"/>
        </w:rPr>
      </w:pPr>
      <w:r>
        <w:rPr>
          <w:rFonts w:hint="eastAsia" w:ascii="仿宋" w:hAnsi="仿宋" w:eastAsia="仿宋" w:cs="仿宋"/>
          <w:sz w:val="32"/>
          <w:szCs w:val="32"/>
        </w:rPr>
        <w:t>　　（3）金融资产不低于 300 万元或者最近三年个人年均收入不低于50万元。这里的金融资产可以包括银行存款、股票、债券、基金份额、资产管理计划、银行理财产品、信托计划、保险产品、期货权益等。</w:t>
      </w:r>
    </w:p>
    <w:p>
      <w:pPr>
        <w:pStyle w:val="2"/>
        <w:keepNext w:val="0"/>
        <w:keepLines w:val="0"/>
        <w:widowControl/>
        <w:suppressLineNumbers w:val="0"/>
        <w:jc w:val="both"/>
        <w:rPr>
          <w:rFonts w:hint="eastAsia" w:ascii="仿宋" w:hAnsi="仿宋" w:eastAsia="仿宋" w:cs="仿宋"/>
        </w:rPr>
      </w:pPr>
      <w:r>
        <w:rPr>
          <w:rFonts w:hint="eastAsia" w:ascii="仿宋" w:hAnsi="仿宋" w:eastAsia="仿宋" w:cs="仿宋"/>
          <w:sz w:val="32"/>
          <w:szCs w:val="32"/>
        </w:rPr>
        <w:t>　　目前，存在两种向“非合格投资者”募集资金的违规情形：</w:t>
      </w:r>
    </w:p>
    <w:p>
      <w:pPr>
        <w:pStyle w:val="2"/>
        <w:keepNext w:val="0"/>
        <w:keepLines w:val="0"/>
        <w:widowControl/>
        <w:suppressLineNumbers w:val="0"/>
        <w:jc w:val="both"/>
        <w:rPr>
          <w:rFonts w:hint="eastAsia" w:ascii="仿宋" w:hAnsi="仿宋" w:eastAsia="仿宋" w:cs="仿宋"/>
        </w:rPr>
      </w:pPr>
      <w:r>
        <w:rPr>
          <w:rFonts w:hint="eastAsia" w:ascii="仿宋" w:hAnsi="仿宋" w:eastAsia="仿宋" w:cs="仿宋"/>
          <w:sz w:val="32"/>
          <w:szCs w:val="32"/>
        </w:rPr>
        <w:t>　　第一，资产条件不达标。</w:t>
      </w:r>
    </w:p>
    <w:p>
      <w:pPr>
        <w:pStyle w:val="2"/>
        <w:keepNext w:val="0"/>
        <w:keepLines w:val="0"/>
        <w:widowControl/>
        <w:suppressLineNumbers w:val="0"/>
        <w:jc w:val="both"/>
        <w:rPr>
          <w:rFonts w:hint="eastAsia" w:ascii="仿宋" w:hAnsi="仿宋" w:eastAsia="仿宋" w:cs="仿宋"/>
        </w:rPr>
      </w:pPr>
      <w:r>
        <w:rPr>
          <w:rFonts w:hint="eastAsia" w:ascii="仿宋" w:hAnsi="仿宋" w:eastAsia="仿宋" w:cs="仿宋"/>
          <w:sz w:val="32"/>
          <w:szCs w:val="32"/>
        </w:rPr>
        <w:t>　　募集机构直接向金融资产不足300万元或最近三年个人年均收入不足50万元的个人募集资金，或者提供虚假资产证明，蒙混过关。</w:t>
      </w:r>
    </w:p>
    <w:p>
      <w:pPr>
        <w:pStyle w:val="2"/>
        <w:keepNext w:val="0"/>
        <w:keepLines w:val="0"/>
        <w:widowControl/>
        <w:suppressLineNumbers w:val="0"/>
        <w:jc w:val="both"/>
        <w:rPr>
          <w:rFonts w:hint="eastAsia" w:ascii="仿宋" w:hAnsi="仿宋" w:eastAsia="仿宋" w:cs="仿宋"/>
        </w:rPr>
      </w:pPr>
      <w:r>
        <w:rPr>
          <w:rFonts w:hint="eastAsia" w:ascii="仿宋" w:hAnsi="仿宋" w:eastAsia="仿宋" w:cs="仿宋"/>
          <w:sz w:val="32"/>
          <w:szCs w:val="32"/>
        </w:rPr>
        <w:t>　　案例：A基金公司发行的“a私募证券投资基金”产品风险暴露，投资者损失惨重，经调查发现A基金公司为资产不达标的个人出具虚假私募基金份额充当符合认购条件的个人金融资产证明，妄图蒙混过关，实际多名投资者金融资产不足300万元且近三年个人年均收入不足50万元。</w:t>
      </w:r>
    </w:p>
    <w:p>
      <w:pPr>
        <w:pStyle w:val="2"/>
        <w:keepNext w:val="0"/>
        <w:keepLines w:val="0"/>
        <w:widowControl/>
        <w:suppressLineNumbers w:val="0"/>
        <w:jc w:val="both"/>
        <w:rPr>
          <w:rFonts w:hint="eastAsia" w:ascii="仿宋" w:hAnsi="仿宋" w:eastAsia="仿宋" w:cs="仿宋"/>
        </w:rPr>
      </w:pPr>
      <w:r>
        <w:rPr>
          <w:rFonts w:hint="eastAsia" w:ascii="仿宋" w:hAnsi="仿宋" w:eastAsia="仿宋" w:cs="仿宋"/>
          <w:sz w:val="32"/>
          <w:szCs w:val="32"/>
        </w:rPr>
        <w:t>　　第二，起投金额不合规。</w:t>
      </w:r>
    </w:p>
    <w:p>
      <w:pPr>
        <w:pStyle w:val="2"/>
        <w:keepNext w:val="0"/>
        <w:keepLines w:val="0"/>
        <w:widowControl/>
        <w:suppressLineNumbers w:val="0"/>
        <w:jc w:val="both"/>
        <w:rPr>
          <w:rFonts w:hint="eastAsia" w:ascii="仿宋" w:hAnsi="仿宋" w:eastAsia="仿宋" w:cs="仿宋"/>
        </w:rPr>
      </w:pPr>
      <w:r>
        <w:rPr>
          <w:rFonts w:hint="eastAsia" w:ascii="仿宋" w:hAnsi="仿宋" w:eastAsia="仿宋" w:cs="仿宋"/>
          <w:sz w:val="32"/>
          <w:szCs w:val="32"/>
        </w:rPr>
        <w:t>　　私募基金投资门槛为100万元，但有的管理人要么直接违反这一规定，要么非法拆分转让基金份额，来变相突破最低投资金额限制。</w:t>
      </w:r>
    </w:p>
    <w:p>
      <w:pPr>
        <w:pStyle w:val="2"/>
        <w:keepNext w:val="0"/>
        <w:keepLines w:val="0"/>
        <w:widowControl/>
        <w:suppressLineNumbers w:val="0"/>
        <w:jc w:val="both"/>
        <w:rPr>
          <w:rFonts w:hint="eastAsia" w:ascii="仿宋" w:hAnsi="仿宋" w:eastAsia="仿宋" w:cs="仿宋"/>
        </w:rPr>
      </w:pPr>
      <w:r>
        <w:rPr>
          <w:rFonts w:hint="eastAsia" w:ascii="仿宋" w:hAnsi="仿宋" w:eastAsia="仿宋" w:cs="仿宋"/>
          <w:sz w:val="32"/>
          <w:szCs w:val="32"/>
        </w:rPr>
        <w:t>　　案例：A基金公司发行“a私募投资基金”，约定投资金额5万元至150万元不等，投资期限为1年，其中大部分投资者的投资金额都不超过100万元。</w:t>
      </w:r>
    </w:p>
    <w:p>
      <w:pPr>
        <w:pStyle w:val="2"/>
        <w:keepNext w:val="0"/>
        <w:keepLines w:val="0"/>
        <w:widowControl/>
        <w:suppressLineNumbers w:val="0"/>
        <w:jc w:val="both"/>
        <w:rPr>
          <w:rFonts w:hint="eastAsia" w:ascii="仿宋" w:hAnsi="仿宋" w:eastAsia="仿宋" w:cs="仿宋"/>
        </w:rPr>
      </w:pPr>
      <w:r>
        <w:rPr>
          <w:rFonts w:hint="eastAsia" w:ascii="仿宋" w:hAnsi="仿宋" w:eastAsia="仿宋" w:cs="仿宋"/>
          <w:sz w:val="32"/>
          <w:szCs w:val="32"/>
        </w:rPr>
        <w:t>　　案例：L基金公司设立M机构，用于吸收非合格投资者资金，最后由M机构认购L基金公司设立的“b私募投资基金”部分份额，经调查发现这些投资者投资金额均低于100万元。</w:t>
      </w:r>
    </w:p>
    <w:p>
      <w:pPr>
        <w:pStyle w:val="2"/>
        <w:keepNext w:val="0"/>
        <w:keepLines w:val="0"/>
        <w:widowControl/>
        <w:suppressLineNumbers w:val="0"/>
        <w:jc w:val="both"/>
        <w:rPr>
          <w:rFonts w:hint="eastAsia" w:ascii="仿宋" w:hAnsi="仿宋" w:eastAsia="仿宋" w:cs="仿宋"/>
        </w:rPr>
      </w:pPr>
      <w:r>
        <w:rPr>
          <w:rFonts w:hint="eastAsia" w:ascii="仿宋" w:hAnsi="仿宋" w:eastAsia="仿宋" w:cs="仿宋"/>
          <w:sz w:val="32"/>
          <w:szCs w:val="32"/>
        </w:rPr>
        <w:t>　　案例：W基金公司发行“w私募投资基金”，其销售员宣传该只基金可拆分，暗示投资金额不足100万的投资者联系亲朋好友，凑足100万，以其名义购买，私下拆分收益。在销售员的怂恿下，不少对私募基金了解甚少，风险承受能力低的社会群众被眼前收益所诱惑，纷纷联系亲朋好友掏出自己的血汗钱。</w:t>
      </w:r>
    </w:p>
    <w:p>
      <w:pPr>
        <w:pStyle w:val="2"/>
        <w:keepNext w:val="0"/>
        <w:keepLines w:val="0"/>
        <w:widowControl/>
        <w:suppressLineNumbers w:val="0"/>
        <w:jc w:val="both"/>
        <w:rPr>
          <w:rFonts w:hint="eastAsia" w:ascii="仿宋" w:hAnsi="仿宋" w:eastAsia="仿宋" w:cs="仿宋"/>
        </w:rPr>
      </w:pPr>
      <w:r>
        <w:rPr>
          <w:rFonts w:hint="eastAsia" w:ascii="仿宋" w:hAnsi="仿宋" w:eastAsia="仿宋" w:cs="仿宋"/>
          <w:sz w:val="32"/>
          <w:szCs w:val="32"/>
        </w:rPr>
        <w:t>　　雷区二 巧立名目突破产品人数上限——警惕成“黑户”</w:t>
      </w:r>
    </w:p>
    <w:p>
      <w:pPr>
        <w:pStyle w:val="2"/>
        <w:keepNext w:val="0"/>
        <w:keepLines w:val="0"/>
        <w:widowControl/>
        <w:suppressLineNumbers w:val="0"/>
        <w:jc w:val="both"/>
        <w:rPr>
          <w:rFonts w:hint="eastAsia" w:ascii="仿宋" w:hAnsi="仿宋" w:eastAsia="仿宋" w:cs="仿宋"/>
        </w:rPr>
      </w:pPr>
      <w:r>
        <w:rPr>
          <w:rFonts w:hint="eastAsia" w:ascii="仿宋" w:hAnsi="仿宋" w:eastAsia="仿宋" w:cs="仿宋"/>
          <w:sz w:val="32"/>
          <w:szCs w:val="32"/>
        </w:rPr>
        <w:t>　　单只契约型基金的累计投资者人数不得超过200人，单只合伙型基金累计投资者人数不得超过50人。</w:t>
      </w:r>
    </w:p>
    <w:p>
      <w:pPr>
        <w:pStyle w:val="2"/>
        <w:keepNext w:val="0"/>
        <w:keepLines w:val="0"/>
        <w:widowControl/>
        <w:suppressLineNumbers w:val="0"/>
        <w:jc w:val="both"/>
        <w:rPr>
          <w:rFonts w:hint="eastAsia" w:ascii="仿宋" w:hAnsi="仿宋" w:eastAsia="仿宋" w:cs="仿宋"/>
        </w:rPr>
      </w:pPr>
      <w:r>
        <w:rPr>
          <w:rFonts w:hint="eastAsia" w:ascii="仿宋" w:hAnsi="仿宋" w:eastAsia="仿宋" w:cs="仿宋"/>
          <w:sz w:val="32"/>
          <w:szCs w:val="32"/>
        </w:rPr>
        <w:t>　　但是许多私募机构要么直接突破人数限制，要么变相突破，比如通过加盟连锁、特邀合伙伙伴、成立多个合伙企业等方式，代销其基金给更多人。</w:t>
      </w:r>
    </w:p>
    <w:p>
      <w:pPr>
        <w:pStyle w:val="2"/>
        <w:keepNext w:val="0"/>
        <w:keepLines w:val="0"/>
        <w:widowControl/>
        <w:suppressLineNumbers w:val="0"/>
        <w:jc w:val="both"/>
        <w:rPr>
          <w:rFonts w:hint="eastAsia" w:ascii="仿宋" w:hAnsi="仿宋" w:eastAsia="仿宋" w:cs="仿宋"/>
        </w:rPr>
      </w:pPr>
      <w:r>
        <w:rPr>
          <w:rFonts w:hint="eastAsia" w:ascii="仿宋" w:hAnsi="仿宋" w:eastAsia="仿宋" w:cs="仿宋"/>
          <w:sz w:val="32"/>
          <w:szCs w:val="32"/>
        </w:rPr>
        <w:t>　　案例：合伙企业E系私募基金管理人，采取收取加盟费的模式设立“加盟网点”——成立多个合伙企业并登记为私募基金管理人，代销E的私募基金。在多方合伙伙伴共同推介下，同时利用POS机划款等方式，吸收约1250名投资者，投资款共计1.99亿元，受害投资者众多，财产损失大。</w:t>
      </w:r>
    </w:p>
    <w:p>
      <w:pPr>
        <w:pStyle w:val="2"/>
        <w:keepNext w:val="0"/>
        <w:keepLines w:val="0"/>
        <w:widowControl/>
        <w:suppressLineNumbers w:val="0"/>
        <w:jc w:val="both"/>
        <w:rPr>
          <w:rFonts w:hint="eastAsia" w:ascii="仿宋" w:hAnsi="仿宋" w:eastAsia="仿宋" w:cs="仿宋"/>
        </w:rPr>
      </w:pPr>
      <w:r>
        <w:rPr>
          <w:rFonts w:hint="eastAsia" w:ascii="仿宋" w:hAnsi="仿宋" w:eastAsia="仿宋" w:cs="仿宋"/>
          <w:sz w:val="32"/>
          <w:szCs w:val="32"/>
        </w:rPr>
        <w:t>　　雷区三 不做适当性评估匹配——“拉郎配”埋雷</w:t>
      </w:r>
    </w:p>
    <w:p>
      <w:pPr>
        <w:pStyle w:val="2"/>
        <w:keepNext w:val="0"/>
        <w:keepLines w:val="0"/>
        <w:widowControl/>
        <w:suppressLineNumbers w:val="0"/>
        <w:jc w:val="both"/>
        <w:rPr>
          <w:rFonts w:hint="eastAsia" w:ascii="仿宋" w:hAnsi="仿宋" w:eastAsia="仿宋" w:cs="仿宋"/>
        </w:rPr>
      </w:pPr>
      <w:r>
        <w:rPr>
          <w:rFonts w:hint="eastAsia" w:ascii="仿宋" w:hAnsi="仿宋" w:eastAsia="仿宋" w:cs="仿宋"/>
          <w:sz w:val="32"/>
          <w:szCs w:val="32"/>
        </w:rPr>
        <w:t>　　基金募集机构应当做好风险测评（针对投资者）和风险评级（针对私募基金产品），把适当的基金产品或者服务，提供给适合的投资者。</w:t>
      </w:r>
    </w:p>
    <w:p>
      <w:pPr>
        <w:pStyle w:val="2"/>
        <w:keepNext w:val="0"/>
        <w:keepLines w:val="0"/>
        <w:widowControl/>
        <w:suppressLineNumbers w:val="0"/>
        <w:jc w:val="both"/>
        <w:rPr>
          <w:rFonts w:hint="eastAsia" w:ascii="仿宋" w:hAnsi="仿宋" w:eastAsia="仿宋" w:cs="仿宋"/>
        </w:rPr>
      </w:pPr>
      <w:r>
        <w:rPr>
          <w:rFonts w:hint="eastAsia" w:ascii="仿宋" w:hAnsi="仿宋" w:eastAsia="仿宋" w:cs="仿宋"/>
          <w:sz w:val="32"/>
          <w:szCs w:val="32"/>
        </w:rPr>
        <w:t>　　然而个别募集机构没有做到实质的评估或评级。</w:t>
      </w:r>
    </w:p>
    <w:p>
      <w:pPr>
        <w:pStyle w:val="2"/>
        <w:keepNext w:val="0"/>
        <w:keepLines w:val="0"/>
        <w:widowControl/>
        <w:suppressLineNumbers w:val="0"/>
        <w:jc w:val="both"/>
        <w:rPr>
          <w:rFonts w:hint="eastAsia" w:ascii="仿宋" w:hAnsi="仿宋" w:eastAsia="仿宋" w:cs="仿宋"/>
        </w:rPr>
      </w:pPr>
      <w:r>
        <w:rPr>
          <w:rFonts w:hint="eastAsia" w:ascii="仿宋" w:hAnsi="仿宋" w:eastAsia="仿宋" w:cs="仿宋"/>
          <w:sz w:val="32"/>
          <w:szCs w:val="32"/>
        </w:rPr>
        <w:t>　　投资者在认购前，应关注是否有风险测评环节，否则可能有超出承受能力的损失。</w:t>
      </w:r>
    </w:p>
    <w:p>
      <w:pPr>
        <w:pStyle w:val="2"/>
        <w:keepNext w:val="0"/>
        <w:keepLines w:val="0"/>
        <w:widowControl/>
        <w:suppressLineNumbers w:val="0"/>
        <w:jc w:val="both"/>
        <w:rPr>
          <w:rFonts w:hint="eastAsia" w:ascii="仿宋" w:hAnsi="仿宋" w:eastAsia="仿宋" w:cs="仿宋"/>
        </w:rPr>
      </w:pPr>
      <w:r>
        <w:rPr>
          <w:rFonts w:hint="eastAsia" w:ascii="仿宋" w:hAnsi="仿宋" w:eastAsia="仿宋" w:cs="仿宋"/>
          <w:sz w:val="32"/>
          <w:szCs w:val="32"/>
        </w:rPr>
        <w:t>　　案例：H公司未对旗下“Y号私募基金”进行风险评级，未将“HD基金”的投资者划分为普通投资者和专业投资者，未根据普通投资者收入来源、资产状况等因素，对“ZK基金”投资者叶某的风险承受能力等级进行细化分类，2019年被证监会处以行政监管措施。</w:t>
      </w:r>
    </w:p>
    <w:p>
      <w:pPr>
        <w:pStyle w:val="2"/>
        <w:keepNext w:val="0"/>
        <w:keepLines w:val="0"/>
        <w:widowControl/>
        <w:suppressLineNumbers w:val="0"/>
        <w:jc w:val="both"/>
        <w:rPr>
          <w:rFonts w:hint="eastAsia" w:ascii="仿宋" w:hAnsi="仿宋" w:eastAsia="仿宋" w:cs="仿宋"/>
        </w:rPr>
      </w:pPr>
      <w:r>
        <w:rPr>
          <w:rFonts w:hint="eastAsia" w:ascii="仿宋" w:hAnsi="仿宋" w:eastAsia="仿宋" w:cs="仿宋"/>
          <w:sz w:val="32"/>
          <w:szCs w:val="32"/>
        </w:rPr>
        <w:t>　　友情提示：</w:t>
      </w:r>
    </w:p>
    <w:p>
      <w:pPr>
        <w:pStyle w:val="2"/>
        <w:keepNext w:val="0"/>
        <w:keepLines w:val="0"/>
        <w:widowControl/>
        <w:suppressLineNumbers w:val="0"/>
        <w:jc w:val="both"/>
        <w:rPr>
          <w:rFonts w:hint="eastAsia" w:ascii="仿宋" w:hAnsi="仿宋" w:eastAsia="仿宋" w:cs="仿宋"/>
        </w:rPr>
      </w:pPr>
      <w:r>
        <w:rPr>
          <w:rFonts w:hint="eastAsia" w:ascii="仿宋" w:hAnsi="仿宋" w:eastAsia="仿宋" w:cs="仿宋"/>
          <w:sz w:val="32"/>
          <w:szCs w:val="32"/>
        </w:rPr>
        <w:t>　　一旦发现以上违规行为，及时收集保存证据，立即向公安机关、监管部门举报，向中国基金业协会投诉。中国基金业协会受理投诉的主要途径如下：</w:t>
      </w:r>
    </w:p>
    <w:p>
      <w:pPr>
        <w:pStyle w:val="2"/>
        <w:keepNext w:val="0"/>
        <w:keepLines w:val="0"/>
        <w:widowControl/>
        <w:suppressLineNumbers w:val="0"/>
        <w:jc w:val="both"/>
        <w:rPr>
          <w:rFonts w:hint="eastAsia" w:ascii="仿宋" w:hAnsi="仿宋" w:eastAsia="仿宋" w:cs="仿宋"/>
        </w:rPr>
      </w:pPr>
      <w:r>
        <w:rPr>
          <w:rFonts w:hint="eastAsia" w:ascii="仿宋" w:hAnsi="仿宋" w:eastAsia="仿宋" w:cs="仿宋"/>
          <w:sz w:val="32"/>
          <w:szCs w:val="32"/>
        </w:rPr>
        <w:t>　　（1）在线受理：如涉及已在协会登记的私募基金管理人，可在“私募基金管理人公示平台（http://gs.amac.org.cn）”点击该管理人公示信息页面中的“投诉”按钮，按照要求在线填写并提交投诉信息；</w:t>
      </w:r>
    </w:p>
    <w:p>
      <w:pPr>
        <w:pStyle w:val="2"/>
        <w:keepNext w:val="0"/>
        <w:keepLines w:val="0"/>
        <w:widowControl/>
        <w:suppressLineNumbers w:val="0"/>
        <w:jc w:val="both"/>
        <w:rPr>
          <w:rFonts w:hint="eastAsia" w:ascii="仿宋" w:hAnsi="仿宋" w:eastAsia="仿宋" w:cs="仿宋"/>
        </w:rPr>
      </w:pPr>
      <w:r>
        <w:rPr>
          <w:rFonts w:hint="eastAsia" w:ascii="仿宋" w:hAnsi="仿宋" w:eastAsia="仿宋" w:cs="仿宋"/>
          <w:sz w:val="32"/>
          <w:szCs w:val="32"/>
        </w:rPr>
        <w:t>　　（2）现场受理：北京市西城区月坛大厦A座25层；</w:t>
      </w:r>
    </w:p>
    <w:p>
      <w:pPr>
        <w:pStyle w:val="2"/>
        <w:keepNext w:val="0"/>
        <w:keepLines w:val="0"/>
        <w:widowControl/>
        <w:suppressLineNumbers w:val="0"/>
        <w:jc w:val="both"/>
        <w:rPr>
          <w:rFonts w:hint="eastAsia" w:ascii="仿宋" w:hAnsi="仿宋" w:eastAsia="仿宋" w:cs="仿宋"/>
        </w:rPr>
      </w:pPr>
      <w:r>
        <w:rPr>
          <w:rFonts w:hint="eastAsia" w:ascii="仿宋" w:hAnsi="仿宋" w:eastAsia="仿宋" w:cs="仿宋"/>
          <w:sz w:val="32"/>
          <w:szCs w:val="32"/>
        </w:rPr>
        <w:t>　　（3）信函接收：中国证券投资基金业协会，北京市西城区月坛大厦A座25层；</w:t>
      </w:r>
    </w:p>
    <w:p>
      <w:pPr>
        <w:pStyle w:val="2"/>
        <w:keepNext w:val="0"/>
        <w:keepLines w:val="0"/>
        <w:widowControl/>
        <w:suppressLineNumbers w:val="0"/>
        <w:jc w:val="both"/>
        <w:rPr>
          <w:rFonts w:hint="eastAsia" w:ascii="仿宋" w:hAnsi="仿宋" w:eastAsia="仿宋" w:cs="仿宋"/>
        </w:rPr>
      </w:pPr>
      <w:r>
        <w:rPr>
          <w:rFonts w:hint="eastAsia" w:ascii="仿宋" w:hAnsi="仿宋" w:eastAsia="仿宋" w:cs="仿宋"/>
          <w:sz w:val="32"/>
          <w:szCs w:val="32"/>
        </w:rPr>
        <w:t>　　（4）私募咨询热线：400-017-8200</w:t>
      </w:r>
    </w:p>
    <w:p>
      <w:pPr>
        <w:pStyle w:val="2"/>
        <w:keepNext w:val="0"/>
        <w:keepLines w:val="0"/>
        <w:widowControl/>
        <w:suppressLineNumbers w:val="0"/>
        <w:jc w:val="both"/>
        <w:rPr>
          <w:rFonts w:hint="eastAsia" w:ascii="仿宋" w:hAnsi="仿宋" w:eastAsia="仿宋" w:cs="仿宋"/>
        </w:rPr>
      </w:pPr>
      <w:r>
        <w:rPr>
          <w:rFonts w:hint="eastAsia" w:ascii="仿宋" w:hAnsi="仿宋" w:eastAsia="仿宋" w:cs="仿宋"/>
          <w:sz w:val="32"/>
          <w:szCs w:val="32"/>
        </w:rPr>
        <w:t>　　（5）证监会12386热线</w:t>
      </w:r>
    </w:p>
    <w:p>
      <w:pPr>
        <w:pStyle w:val="2"/>
        <w:keepNext w:val="0"/>
        <w:keepLines w:val="0"/>
        <w:widowControl/>
        <w:suppressLineNumbers w:val="0"/>
        <w:jc w:val="both"/>
        <w:rPr>
          <w:rFonts w:hint="eastAsia" w:ascii="仿宋" w:hAnsi="仿宋" w:eastAsia="仿宋" w:cs="仿宋"/>
        </w:rPr>
      </w:pPr>
      <w:r>
        <w:rPr>
          <w:rFonts w:hint="eastAsia" w:ascii="仿宋" w:hAnsi="仿宋" w:eastAsia="仿宋" w:cs="仿宋"/>
          <w:sz w:val="32"/>
          <w:szCs w:val="32"/>
        </w:rPr>
        <w:t>　　（6）微信公众号：中国基金业协会CHINAAMAC</w:t>
      </w:r>
    </w:p>
    <w:p>
      <w:pPr>
        <w:pStyle w:val="2"/>
        <w:keepNext w:val="0"/>
        <w:keepLines w:val="0"/>
        <w:widowControl/>
        <w:suppressLineNumbers w:val="0"/>
        <w:jc w:val="both"/>
        <w:rPr>
          <w:rFonts w:hint="eastAsia" w:ascii="仿宋" w:hAnsi="仿宋" w:eastAsia="仿宋" w:cs="仿宋"/>
        </w:rPr>
      </w:pPr>
      <w:r>
        <w:rPr>
          <w:rFonts w:hint="eastAsia" w:ascii="仿宋" w:hAnsi="仿宋" w:eastAsia="仿宋" w:cs="仿宋"/>
          <w:sz w:val="32"/>
          <w:szCs w:val="32"/>
        </w:rPr>
        <w:t>　　(文章转载自中国证券报，由中国证券投资基金业协会和北京市星石投资管理有限公司共同制作。)</w:t>
      </w:r>
    </w:p>
    <w:p>
      <w:pPr>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410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Acer</cp:lastModifiedBy>
  <dcterms:modified xsi:type="dcterms:W3CDTF">2022-04-25T09:15:28Z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