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YWMD6BA7R9Q059GQARNILJF7ZD0OXPRQE06TJD7XF88TEWTZ6BJRCJGFYRTP8IRXEMXNOL0ZI778LNJRNFADFFX8RM0WLCB8FODRHB349003CB2D75825BA4F82F481C1CD698F" Type="http://schemas.microsoft.com/office/2006/relationships/officeDocumentMain" Target="NULL"/><Relationship Id="SAWMD6GH797A00HG9ZR8ZLJB7ZEMOAPRES0XXJEDXFG8TECTZ7BJYCJTFSVHPC6RXUMXSOLJZIWD8LJJQUFTPF8H8RFMWOWB8OOOYHB3E1806640FB69D111B1116C7A41A21D88"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FB" w:rsidRPr="00AD02BC" w:rsidRDefault="000C03FB" w:rsidP="000C03FB">
      <w:pPr>
        <w:spacing w:line="560" w:lineRule="exact"/>
        <w:rPr>
          <w:rFonts w:ascii="黑体" w:eastAsia="黑体" w:hAnsi="黑体" w:cs="Times New Roman"/>
          <w:color w:val="000000" w:themeColor="text1"/>
          <w:sz w:val="32"/>
          <w:szCs w:val="32"/>
        </w:rPr>
      </w:pPr>
      <w:r w:rsidRPr="00AD02BC">
        <w:rPr>
          <w:rFonts w:ascii="黑体" w:eastAsia="黑体" w:hAnsi="黑体" w:cs="Times New Roman"/>
          <w:color w:val="000000" w:themeColor="text1"/>
          <w:sz w:val="32"/>
          <w:szCs w:val="32"/>
        </w:rPr>
        <w:t>附件</w:t>
      </w:r>
      <w:r w:rsidR="00DC778D" w:rsidRPr="00AD02BC">
        <w:rPr>
          <w:rFonts w:ascii="黑体" w:eastAsia="黑体" w:hAnsi="黑体" w:cs="Times New Roman" w:hint="eastAsia"/>
          <w:color w:val="000000" w:themeColor="text1"/>
          <w:sz w:val="32"/>
          <w:szCs w:val="32"/>
        </w:rPr>
        <w:t>1</w:t>
      </w:r>
    </w:p>
    <w:p w:rsidR="000C03FB" w:rsidRPr="00AD02BC" w:rsidRDefault="000C03FB" w:rsidP="000C03FB">
      <w:pPr>
        <w:spacing w:line="560" w:lineRule="exact"/>
        <w:rPr>
          <w:rFonts w:ascii="仿宋" w:eastAsia="仿宋" w:hAnsi="仿宋"/>
          <w:color w:val="000000" w:themeColor="text1"/>
          <w:sz w:val="30"/>
          <w:szCs w:val="30"/>
        </w:rPr>
      </w:pPr>
    </w:p>
    <w:p w:rsidR="001C02B5" w:rsidRPr="00AD02BC" w:rsidRDefault="000C03FB" w:rsidP="001C02B5">
      <w:pPr>
        <w:snapToGrid w:val="0"/>
        <w:jc w:val="center"/>
        <w:rPr>
          <w:rFonts w:ascii="方正小标宋简体" w:eastAsia="方正小标宋简体" w:hAnsi="黑体" w:cs="华文中宋"/>
          <w:bCs/>
          <w:color w:val="000000"/>
          <w:kern w:val="0"/>
          <w:sz w:val="44"/>
          <w:szCs w:val="44"/>
        </w:rPr>
      </w:pPr>
      <w:r w:rsidRPr="00AD02BC">
        <w:rPr>
          <w:rFonts w:ascii="方正小标宋简体" w:eastAsia="方正小标宋简体" w:hAnsi="黑体" w:cs="华文中宋" w:hint="eastAsia"/>
          <w:bCs/>
          <w:color w:val="000000"/>
          <w:kern w:val="0"/>
          <w:sz w:val="44"/>
          <w:szCs w:val="44"/>
        </w:rPr>
        <w:t>深圳证券交易所 中国证券金融股份有限</w:t>
      </w:r>
    </w:p>
    <w:p w:rsidR="000C03FB" w:rsidRPr="00AD02BC" w:rsidRDefault="000C03FB" w:rsidP="001C02B5">
      <w:pPr>
        <w:snapToGrid w:val="0"/>
        <w:jc w:val="center"/>
        <w:rPr>
          <w:rFonts w:ascii="方正小标宋简体" w:eastAsia="方正小标宋简体" w:hAnsi="黑体" w:cs="华文中宋"/>
          <w:bCs/>
          <w:color w:val="000000"/>
          <w:kern w:val="0"/>
          <w:sz w:val="44"/>
          <w:szCs w:val="44"/>
        </w:rPr>
      </w:pPr>
      <w:r w:rsidRPr="00AD02BC">
        <w:rPr>
          <w:rFonts w:ascii="方正小标宋简体" w:eastAsia="方正小标宋简体" w:hAnsi="黑体" w:cs="华文中宋" w:hint="eastAsia"/>
          <w:bCs/>
          <w:color w:val="000000"/>
          <w:kern w:val="0"/>
          <w:sz w:val="44"/>
          <w:szCs w:val="44"/>
        </w:rPr>
        <w:t>公司</w:t>
      </w:r>
      <w:r w:rsidR="002E4A97" w:rsidRPr="00AD02BC">
        <w:rPr>
          <w:rFonts w:ascii="方正小标宋简体" w:eastAsia="方正小标宋简体" w:hAnsi="黑体" w:cs="华文中宋" w:hint="eastAsia"/>
          <w:bCs/>
          <w:color w:val="000000"/>
          <w:kern w:val="0"/>
          <w:sz w:val="44"/>
          <w:szCs w:val="44"/>
        </w:rPr>
        <w:t xml:space="preserve"> </w:t>
      </w:r>
      <w:r w:rsidRPr="00AD02BC">
        <w:rPr>
          <w:rFonts w:ascii="方正小标宋简体" w:eastAsia="方正小标宋简体" w:hAnsi="黑体" w:cs="华文中宋" w:hint="eastAsia"/>
          <w:bCs/>
          <w:color w:val="000000"/>
          <w:kern w:val="0"/>
          <w:sz w:val="44"/>
          <w:szCs w:val="44"/>
        </w:rPr>
        <w:t>中国证券登记结算有限责任公司</w:t>
      </w:r>
    </w:p>
    <w:p w:rsidR="000C03FB" w:rsidRPr="00AD02BC" w:rsidRDefault="000C03FB" w:rsidP="001C02B5">
      <w:pPr>
        <w:snapToGrid w:val="0"/>
        <w:jc w:val="center"/>
        <w:rPr>
          <w:rFonts w:ascii="方正小标宋简体" w:eastAsia="方正小标宋简体" w:hAnsi="黑体" w:cs="华文中宋"/>
          <w:bCs/>
          <w:color w:val="000000"/>
          <w:kern w:val="0"/>
          <w:sz w:val="44"/>
          <w:szCs w:val="44"/>
        </w:rPr>
      </w:pPr>
      <w:r w:rsidRPr="00AD02BC">
        <w:rPr>
          <w:rFonts w:ascii="方正小标宋简体" w:eastAsia="方正小标宋简体" w:hAnsi="黑体" w:cs="华文中宋" w:hint="eastAsia"/>
          <w:bCs/>
          <w:color w:val="000000"/>
          <w:kern w:val="0"/>
          <w:sz w:val="44"/>
          <w:szCs w:val="44"/>
        </w:rPr>
        <w:t>创业板转融通证券出借和转融券</w:t>
      </w:r>
    </w:p>
    <w:p w:rsidR="000C03FB" w:rsidRPr="00AD02BC" w:rsidRDefault="000C03FB" w:rsidP="001C02B5">
      <w:pPr>
        <w:snapToGrid w:val="0"/>
        <w:jc w:val="center"/>
        <w:rPr>
          <w:rFonts w:ascii="方正大标宋简体" w:eastAsia="方正大标宋简体" w:hAnsi="黑体" w:cs="华文中宋"/>
          <w:bCs/>
          <w:color w:val="000000"/>
          <w:kern w:val="0"/>
          <w:sz w:val="42"/>
          <w:szCs w:val="42"/>
        </w:rPr>
      </w:pPr>
      <w:r w:rsidRPr="00AD02BC">
        <w:rPr>
          <w:rFonts w:ascii="方正小标宋简体" w:eastAsia="方正小标宋简体" w:hAnsi="黑体" w:cs="华文中宋" w:hint="eastAsia"/>
          <w:bCs/>
          <w:color w:val="000000"/>
          <w:kern w:val="0"/>
          <w:sz w:val="44"/>
          <w:szCs w:val="44"/>
        </w:rPr>
        <w:t>业务特别规定（</w:t>
      </w:r>
      <w:r w:rsidR="00AD02BC" w:rsidRPr="00AD02BC">
        <w:rPr>
          <w:rFonts w:ascii="方正小标宋简体" w:eastAsia="方正小标宋简体" w:hAnsi="黑体" w:cs="华文中宋" w:hint="eastAsia"/>
          <w:bCs/>
          <w:color w:val="000000"/>
          <w:kern w:val="0"/>
          <w:sz w:val="44"/>
          <w:szCs w:val="44"/>
        </w:rPr>
        <w:t>征求意见稿</w:t>
      </w:r>
      <w:r w:rsidRPr="00AD02BC">
        <w:rPr>
          <w:rFonts w:ascii="方正小标宋简体" w:eastAsia="方正小标宋简体" w:hAnsi="黑体" w:cs="华文中宋" w:hint="eastAsia"/>
          <w:bCs/>
          <w:color w:val="000000"/>
          <w:kern w:val="0"/>
          <w:sz w:val="44"/>
          <w:szCs w:val="44"/>
        </w:rPr>
        <w:t>）</w:t>
      </w:r>
    </w:p>
    <w:p w:rsidR="000C03FB" w:rsidRPr="00AD02BC" w:rsidRDefault="000C03FB" w:rsidP="001C02B5">
      <w:pPr>
        <w:spacing w:line="560" w:lineRule="exact"/>
        <w:ind w:firstLineChars="200" w:firstLine="643"/>
        <w:rPr>
          <w:rFonts w:ascii="仿宋" w:eastAsia="仿宋" w:hAnsi="仿宋"/>
          <w:b/>
          <w:sz w:val="32"/>
          <w:szCs w:val="32"/>
        </w:rPr>
      </w:pPr>
    </w:p>
    <w:p w:rsidR="000C03FB" w:rsidRPr="0090070E" w:rsidRDefault="000C03FB" w:rsidP="001C02B5">
      <w:pPr>
        <w:numPr>
          <w:ilvl w:val="0"/>
          <w:numId w:val="2"/>
        </w:numPr>
        <w:spacing w:line="560" w:lineRule="exact"/>
        <w:ind w:left="0" w:firstLine="0"/>
        <w:jc w:val="center"/>
        <w:rPr>
          <w:rFonts w:ascii="黑体" w:eastAsia="黑体" w:hAnsi="黑体"/>
          <w:sz w:val="32"/>
          <w:szCs w:val="32"/>
        </w:rPr>
      </w:pPr>
      <w:r w:rsidRPr="0090070E">
        <w:rPr>
          <w:rFonts w:ascii="黑体" w:eastAsia="黑体" w:hAnsi="黑体" w:hint="eastAsia"/>
          <w:sz w:val="32"/>
          <w:szCs w:val="32"/>
        </w:rPr>
        <w:t>总则</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【制定依据】为促进创业板转融通证券出借和转融券业务的顺利开展，防范业务风险，根据《转融通业务监督管理试行办法》</w:t>
      </w:r>
      <w:r w:rsidRPr="00AD02BC">
        <w:rPr>
          <w:rFonts w:ascii="仿宋" w:eastAsia="仿宋" w:hAnsi="仿宋" w:hint="eastAsia"/>
          <w:color w:val="000000" w:themeColor="text1"/>
          <w:sz w:val="32"/>
          <w:szCs w:val="32"/>
        </w:rPr>
        <w:t>《创业板首次公开发行股票注册管理办法</w:t>
      </w:r>
      <w:r w:rsidR="00515E50" w:rsidRPr="00AD02BC">
        <w:rPr>
          <w:rFonts w:ascii="仿宋" w:eastAsia="仿宋" w:hAnsi="仿宋" w:hint="eastAsia"/>
          <w:color w:val="000000" w:themeColor="text1"/>
          <w:sz w:val="32"/>
          <w:szCs w:val="32"/>
        </w:rPr>
        <w:t>（试行）</w:t>
      </w:r>
      <w:r w:rsidR="00BC20E3" w:rsidRPr="00AD02BC">
        <w:rPr>
          <w:rFonts w:ascii="仿宋" w:eastAsia="仿宋" w:hAnsi="仿宋" w:hint="eastAsia"/>
          <w:color w:val="000000" w:themeColor="text1"/>
          <w:sz w:val="32"/>
          <w:szCs w:val="32"/>
        </w:rPr>
        <w:t>》</w:t>
      </w:r>
      <w:r w:rsidR="00943C46">
        <w:rPr>
          <w:rFonts w:ascii="仿宋" w:eastAsia="仿宋" w:hAnsi="仿宋" w:hint="eastAsia"/>
          <w:color w:val="000000" w:themeColor="text1"/>
          <w:sz w:val="32"/>
          <w:szCs w:val="32"/>
        </w:rPr>
        <w:t>（</w:t>
      </w:r>
      <w:r w:rsidR="00943C46" w:rsidRPr="00AD02BC">
        <w:rPr>
          <w:rFonts w:ascii="仿宋" w:eastAsia="仿宋" w:hAnsi="仿宋" w:hint="eastAsia"/>
          <w:sz w:val="32"/>
          <w:szCs w:val="32"/>
        </w:rPr>
        <w:t>以下简称《</w:t>
      </w:r>
      <w:r w:rsidR="00943C46" w:rsidRPr="00AD02BC">
        <w:rPr>
          <w:rFonts w:ascii="仿宋" w:eastAsia="仿宋" w:hAnsi="仿宋" w:hint="eastAsia"/>
          <w:color w:val="000000" w:themeColor="text1"/>
          <w:sz w:val="32"/>
          <w:szCs w:val="32"/>
        </w:rPr>
        <w:t>创业板注册管理办法</w:t>
      </w:r>
      <w:r w:rsidR="00943C46" w:rsidRPr="00AD02BC">
        <w:rPr>
          <w:rFonts w:ascii="仿宋" w:eastAsia="仿宋" w:hAnsi="仿宋" w:hint="eastAsia"/>
          <w:sz w:val="32"/>
          <w:szCs w:val="32"/>
        </w:rPr>
        <w:t>》</w:t>
      </w:r>
      <w:r w:rsidR="00943C46">
        <w:rPr>
          <w:rFonts w:ascii="仿宋" w:eastAsia="仿宋" w:hAnsi="仿宋" w:hint="eastAsia"/>
          <w:color w:val="000000" w:themeColor="text1"/>
          <w:sz w:val="32"/>
          <w:szCs w:val="32"/>
        </w:rPr>
        <w:t>）、</w:t>
      </w:r>
      <w:r w:rsidRPr="00AD02BC">
        <w:rPr>
          <w:rFonts w:ascii="仿宋" w:eastAsia="仿宋" w:hAnsi="仿宋" w:hint="eastAsia"/>
          <w:sz w:val="32"/>
          <w:szCs w:val="32"/>
        </w:rPr>
        <w:t>《深圳证券交易所转融通证券出借交易实施办法（试行）》（以下简称《证券出借实施办法》）、《中国证券金融股份有限公司转融通业务规则（试行）》（以下简称《转融通业务规则》）、《中国证券登记结算有限责任公司证券出借及转融通登记结算业务规则（试行）》（以下简称《证券出借及转融通登记结算业务规则》）</w:t>
      </w:r>
      <w:r w:rsidR="003F7FF9" w:rsidRPr="00AD02BC">
        <w:rPr>
          <w:rFonts w:ascii="仿宋" w:eastAsia="仿宋" w:hAnsi="仿宋" w:hint="eastAsia"/>
          <w:sz w:val="32"/>
          <w:szCs w:val="32"/>
        </w:rPr>
        <w:t>等有关规定</w:t>
      </w:r>
      <w:r w:rsidRPr="00AD02BC">
        <w:rPr>
          <w:rFonts w:ascii="仿宋" w:eastAsia="仿宋" w:hAnsi="仿宋" w:hint="eastAsia"/>
          <w:sz w:val="32"/>
          <w:szCs w:val="32"/>
        </w:rPr>
        <w:t>，制定本规定。</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【适用范围】</w:t>
      </w:r>
      <w:r w:rsidR="007D5B18" w:rsidRPr="00AD02BC">
        <w:rPr>
          <w:rFonts w:ascii="仿宋" w:eastAsia="仿宋" w:hAnsi="仿宋" w:cs="Times New Roman"/>
          <w:kern w:val="0"/>
          <w:sz w:val="32"/>
          <w:szCs w:val="32"/>
        </w:rPr>
        <w:t>创业板上市</w:t>
      </w:r>
      <w:r w:rsidR="007D5B18" w:rsidRPr="00AD02BC">
        <w:rPr>
          <w:rFonts w:ascii="仿宋" w:eastAsia="仿宋" w:hAnsi="仿宋" w:cs="Times New Roman" w:hint="eastAsia"/>
          <w:kern w:val="0"/>
          <w:sz w:val="32"/>
          <w:szCs w:val="32"/>
        </w:rPr>
        <w:t>交易</w:t>
      </w:r>
      <w:r w:rsidR="007D5B18" w:rsidRPr="00AD02BC">
        <w:rPr>
          <w:rFonts w:ascii="仿宋" w:eastAsia="仿宋" w:hAnsi="仿宋" w:cs="Times New Roman"/>
          <w:kern w:val="0"/>
          <w:sz w:val="32"/>
          <w:szCs w:val="32"/>
        </w:rPr>
        <w:t>的股票和存托凭证</w:t>
      </w:r>
      <w:r w:rsidR="007D5B18" w:rsidRPr="00AD02BC">
        <w:rPr>
          <w:rFonts w:ascii="仿宋" w:eastAsia="仿宋" w:hAnsi="仿宋" w:cs="Times New Roman" w:hint="eastAsia"/>
          <w:kern w:val="0"/>
          <w:sz w:val="32"/>
          <w:szCs w:val="32"/>
        </w:rPr>
        <w:t>（以下统称股票），</w:t>
      </w:r>
      <w:r w:rsidRPr="00AD02BC">
        <w:rPr>
          <w:rFonts w:ascii="仿宋" w:eastAsia="仿宋" w:hAnsi="仿宋" w:hint="eastAsia"/>
          <w:sz w:val="32"/>
          <w:szCs w:val="32"/>
        </w:rPr>
        <w:t>其证券出借、转融券以及相关登记结算业务适用本规定。本规定未作规定的，适用《证券出借实施办法》《转融通业务规则》《证券出借及转融通登记结算业务规则》等其他有关规定。</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【申报方式】证券出借人（以下简称出借人）和</w:t>
      </w:r>
      <w:r w:rsidRPr="00AD02BC">
        <w:rPr>
          <w:rFonts w:ascii="仿宋" w:eastAsia="仿宋" w:hAnsi="仿宋" w:hint="eastAsia"/>
          <w:sz w:val="32"/>
          <w:szCs w:val="32"/>
        </w:rPr>
        <w:lastRenderedPageBreak/>
        <w:t>转融券借入人（以下简称借入人）可以按本规定通过约定申报和非约定申报方式参与证券出借以及转融券业务。</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通过约定申报方式参与的，由出借人、借入人按本规定</w:t>
      </w:r>
      <w:r w:rsidR="00D30CB6" w:rsidRPr="00AD02BC">
        <w:rPr>
          <w:rFonts w:ascii="仿宋" w:eastAsia="仿宋" w:hAnsi="仿宋" w:hint="eastAsia"/>
          <w:sz w:val="32"/>
          <w:szCs w:val="32"/>
        </w:rPr>
        <w:t>及其他有关业务规则</w:t>
      </w:r>
      <w:r w:rsidRPr="00AD02BC">
        <w:rPr>
          <w:rFonts w:ascii="仿宋" w:eastAsia="仿宋" w:hAnsi="仿宋" w:hint="eastAsia"/>
          <w:sz w:val="32"/>
          <w:szCs w:val="32"/>
        </w:rPr>
        <w:t>协商确定数量、期限、费率等要素。</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证金职责】中国证券金融股份有限公司（以下简称中国证券金融公司）分别与出借人、借入人进行证券出借、转融券业务，并提供信息交互平台，出借人、借入人可以通过信息交互平台发布出借意愿、借入意愿等信息。</w:t>
      </w:r>
    </w:p>
    <w:p w:rsidR="000C03FB" w:rsidRPr="00AD02BC" w:rsidRDefault="000C03FB" w:rsidP="001C02B5">
      <w:pPr>
        <w:pStyle w:val="a5"/>
        <w:spacing w:line="560" w:lineRule="exact"/>
        <w:ind w:firstLine="640"/>
        <w:rPr>
          <w:rFonts w:ascii="仿宋" w:eastAsia="仿宋" w:hAnsi="仿宋"/>
          <w:sz w:val="32"/>
          <w:szCs w:val="32"/>
        </w:rPr>
      </w:pPr>
    </w:p>
    <w:p w:rsidR="000C03FB" w:rsidRPr="0090070E" w:rsidRDefault="000C03FB" w:rsidP="001C02B5">
      <w:pPr>
        <w:numPr>
          <w:ilvl w:val="0"/>
          <w:numId w:val="2"/>
        </w:numPr>
        <w:spacing w:line="560" w:lineRule="exact"/>
        <w:ind w:left="0" w:firstLine="0"/>
        <w:jc w:val="center"/>
        <w:rPr>
          <w:rFonts w:ascii="黑体" w:eastAsia="黑体" w:hAnsi="黑体"/>
          <w:sz w:val="32"/>
          <w:szCs w:val="32"/>
        </w:rPr>
      </w:pPr>
      <w:r w:rsidRPr="0090070E">
        <w:rPr>
          <w:rFonts w:ascii="黑体" w:eastAsia="黑体" w:hAnsi="黑体" w:hint="eastAsia"/>
          <w:sz w:val="32"/>
          <w:szCs w:val="32"/>
        </w:rPr>
        <w:t>证券出借</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【出借人】符合条件的公募基金、社保基金、保险资金等机构投资者，以及参与创业板发行人首次公开发行的战略投资者</w:t>
      </w:r>
      <w:r w:rsidR="00A606AF" w:rsidRPr="00AD02BC">
        <w:rPr>
          <w:rFonts w:ascii="仿宋" w:eastAsia="仿宋" w:hAnsi="仿宋" w:hint="eastAsia"/>
          <w:sz w:val="32"/>
          <w:szCs w:val="32"/>
        </w:rPr>
        <w:t>、</w:t>
      </w:r>
      <w:r w:rsidR="00EA0A97" w:rsidRPr="00AD02BC">
        <w:rPr>
          <w:rFonts w:ascii="仿宋" w:eastAsia="仿宋" w:hAnsi="仿宋" w:hint="eastAsia"/>
          <w:sz w:val="32"/>
          <w:szCs w:val="32"/>
        </w:rPr>
        <w:t>网下投资者</w:t>
      </w:r>
      <w:r w:rsidRPr="00AD02BC">
        <w:rPr>
          <w:rFonts w:ascii="仿宋" w:eastAsia="仿宋" w:hAnsi="仿宋" w:hint="eastAsia"/>
          <w:sz w:val="32"/>
          <w:szCs w:val="32"/>
        </w:rPr>
        <w:t>（以下</w:t>
      </w:r>
      <w:r w:rsidR="00EA0A97" w:rsidRPr="00AD02BC">
        <w:rPr>
          <w:rFonts w:ascii="仿宋" w:eastAsia="仿宋" w:hAnsi="仿宋" w:hint="eastAsia"/>
          <w:sz w:val="32"/>
          <w:szCs w:val="32"/>
        </w:rPr>
        <w:t>分别</w:t>
      </w:r>
      <w:r w:rsidRPr="00AD02BC">
        <w:rPr>
          <w:rFonts w:ascii="仿宋" w:eastAsia="仿宋" w:hAnsi="仿宋" w:hint="eastAsia"/>
          <w:sz w:val="32"/>
          <w:szCs w:val="32"/>
        </w:rPr>
        <w:t>简称战略投资者</w:t>
      </w:r>
      <w:r w:rsidR="00EA0A97" w:rsidRPr="00AD02BC">
        <w:rPr>
          <w:rFonts w:ascii="仿宋" w:eastAsia="仿宋" w:hAnsi="仿宋" w:hint="eastAsia"/>
          <w:sz w:val="32"/>
          <w:szCs w:val="32"/>
        </w:rPr>
        <w:t>、网下</w:t>
      </w:r>
      <w:r w:rsidR="002E4022" w:rsidRPr="00AD02BC">
        <w:rPr>
          <w:rFonts w:ascii="仿宋" w:eastAsia="仿宋" w:hAnsi="仿宋" w:hint="eastAsia"/>
          <w:sz w:val="32"/>
          <w:szCs w:val="32"/>
        </w:rPr>
        <w:t>投资者</w:t>
      </w:r>
      <w:r w:rsidRPr="00AD02BC">
        <w:rPr>
          <w:rFonts w:ascii="仿宋" w:eastAsia="仿宋" w:hAnsi="仿宋" w:hint="eastAsia"/>
          <w:sz w:val="32"/>
          <w:szCs w:val="32"/>
        </w:rPr>
        <w:t>），可以作为出借人参与证券出借。</w:t>
      </w:r>
    </w:p>
    <w:p w:rsidR="007D5B18" w:rsidRPr="00AD02BC" w:rsidRDefault="007D5B18" w:rsidP="00BC49AF">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【出借标的范围】证券出借的标的证券范围，与可融券卖出的标的证券范围一致。</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【出借证券】可通过约定申报和非约定申报方式参与证券出借的证券类型包括：</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（一）无限售流通股；</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（二）战略投资者配售获得的在承诺</w:t>
      </w:r>
      <w:r w:rsidR="00D30CB6" w:rsidRPr="00AD02BC">
        <w:rPr>
          <w:rFonts w:ascii="仿宋" w:eastAsia="仿宋" w:hAnsi="仿宋" w:hint="eastAsia"/>
          <w:sz w:val="32"/>
          <w:szCs w:val="32"/>
        </w:rPr>
        <w:t>的</w:t>
      </w:r>
      <w:r w:rsidRPr="00AD02BC">
        <w:rPr>
          <w:rFonts w:ascii="仿宋" w:eastAsia="仿宋" w:hAnsi="仿宋" w:hint="eastAsia"/>
          <w:sz w:val="32"/>
          <w:szCs w:val="32"/>
        </w:rPr>
        <w:t>持有期限内的股票；</w:t>
      </w:r>
    </w:p>
    <w:p w:rsidR="00F562AA" w:rsidRPr="00AD02BC" w:rsidRDefault="00F562AA"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（三）网下投资者配售获得的在承诺的持有期限内的股票；</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w:t>
      </w:r>
      <w:r w:rsidR="00F562AA" w:rsidRPr="00AD02BC">
        <w:rPr>
          <w:rFonts w:ascii="仿宋" w:eastAsia="仿宋" w:hAnsi="仿宋" w:hint="eastAsia"/>
          <w:sz w:val="32"/>
          <w:szCs w:val="32"/>
        </w:rPr>
        <w:t>四</w:t>
      </w:r>
      <w:r w:rsidRPr="00AD02BC">
        <w:rPr>
          <w:rFonts w:ascii="仿宋" w:eastAsia="仿宋" w:hAnsi="仿宋" w:hint="eastAsia"/>
          <w:sz w:val="32"/>
          <w:szCs w:val="32"/>
        </w:rPr>
        <w:t>）符合规定的其</w:t>
      </w:r>
      <w:bookmarkStart w:id="0" w:name="_GoBack"/>
      <w:bookmarkEnd w:id="0"/>
      <w:r w:rsidRPr="00AD02BC">
        <w:rPr>
          <w:rFonts w:ascii="仿宋" w:eastAsia="仿宋" w:hAnsi="仿宋" w:hint="eastAsia"/>
          <w:sz w:val="32"/>
          <w:szCs w:val="32"/>
        </w:rPr>
        <w:t>他证券。</w:t>
      </w:r>
    </w:p>
    <w:p w:rsidR="00A81178" w:rsidRPr="00AD02BC" w:rsidRDefault="00A81178" w:rsidP="00A81178">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lastRenderedPageBreak/>
        <w:t>【瑕疵证券出借限制】出借人的股票被质押或被有权机关冻结的，不得用于出借。出借人、提供证券出借交易代理服务的证券公司，在申报证券出借指令前应当进行前端检查和控制。</w:t>
      </w:r>
    </w:p>
    <w:p w:rsidR="000C03FB" w:rsidRPr="00AD02BC" w:rsidRDefault="00A606AF"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【限售出借】</w:t>
      </w:r>
      <w:r w:rsidR="000C03FB" w:rsidRPr="00AD02BC">
        <w:rPr>
          <w:rFonts w:ascii="仿宋" w:eastAsia="仿宋" w:hAnsi="仿宋" w:hint="eastAsia"/>
          <w:sz w:val="32"/>
          <w:szCs w:val="32"/>
        </w:rPr>
        <w:t>战略投资者</w:t>
      </w:r>
      <w:r w:rsidR="00EA0A97" w:rsidRPr="00AD02BC">
        <w:rPr>
          <w:rFonts w:ascii="仿宋" w:eastAsia="仿宋" w:hAnsi="仿宋" w:hint="eastAsia"/>
          <w:sz w:val="32"/>
          <w:szCs w:val="32"/>
        </w:rPr>
        <w:t>、</w:t>
      </w:r>
      <w:r w:rsidR="00F779FF" w:rsidRPr="00AD02BC">
        <w:rPr>
          <w:rFonts w:ascii="仿宋" w:eastAsia="仿宋" w:hAnsi="仿宋" w:hint="eastAsia"/>
          <w:sz w:val="32"/>
          <w:szCs w:val="32"/>
        </w:rPr>
        <w:t>网下</w:t>
      </w:r>
      <w:r w:rsidR="002E4022" w:rsidRPr="00AD02BC">
        <w:rPr>
          <w:rFonts w:ascii="仿宋" w:eastAsia="仿宋" w:hAnsi="仿宋" w:hint="eastAsia"/>
          <w:sz w:val="32"/>
          <w:szCs w:val="32"/>
        </w:rPr>
        <w:t>投资者</w:t>
      </w:r>
      <w:r w:rsidR="000C03FB" w:rsidRPr="00AD02BC">
        <w:rPr>
          <w:rFonts w:ascii="仿宋" w:eastAsia="仿宋" w:hAnsi="仿宋" w:hint="eastAsia"/>
          <w:sz w:val="32"/>
          <w:szCs w:val="32"/>
        </w:rPr>
        <w:t>与证券公司存在关联关系的，在承诺持有期限内，可以通过约定申报方式出借获配股票，仅供该证券公司开展融资融券业务，不得与证券公司等关联方或其他主体合谋，锁定配售股票收益、实施利益输送或谋取其他不当利益。</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战略投资者</w:t>
      </w:r>
      <w:r w:rsidR="003948D0" w:rsidRPr="00AD02BC">
        <w:rPr>
          <w:rFonts w:ascii="仿宋" w:eastAsia="仿宋" w:hAnsi="仿宋" w:hint="eastAsia"/>
          <w:sz w:val="32"/>
          <w:szCs w:val="32"/>
        </w:rPr>
        <w:t>、</w:t>
      </w:r>
      <w:r w:rsidR="00BB361E" w:rsidRPr="00AD02BC">
        <w:rPr>
          <w:rFonts w:ascii="仿宋" w:eastAsia="仿宋" w:hAnsi="仿宋" w:hint="eastAsia"/>
          <w:sz w:val="32"/>
          <w:szCs w:val="32"/>
        </w:rPr>
        <w:t>网下投资者</w:t>
      </w:r>
      <w:r w:rsidRPr="00AD02BC">
        <w:rPr>
          <w:rFonts w:ascii="仿宋" w:eastAsia="仿宋" w:hAnsi="仿宋" w:hint="eastAsia"/>
          <w:sz w:val="32"/>
          <w:szCs w:val="32"/>
        </w:rPr>
        <w:t>及其关联方</w:t>
      </w:r>
      <w:r w:rsidR="00EA0A97" w:rsidRPr="00AD02BC">
        <w:rPr>
          <w:rFonts w:ascii="仿宋" w:eastAsia="仿宋" w:hAnsi="仿宋" w:hint="eastAsia"/>
          <w:sz w:val="32"/>
          <w:szCs w:val="32"/>
        </w:rPr>
        <w:t>，</w:t>
      </w:r>
      <w:r w:rsidRPr="00AD02BC">
        <w:rPr>
          <w:rFonts w:ascii="仿宋" w:eastAsia="仿宋" w:hAnsi="仿宋" w:hint="eastAsia"/>
          <w:sz w:val="32"/>
          <w:szCs w:val="32"/>
        </w:rPr>
        <w:t>在战略投资者</w:t>
      </w:r>
      <w:r w:rsidR="00EA0A97" w:rsidRPr="00AD02BC">
        <w:rPr>
          <w:rFonts w:ascii="仿宋" w:eastAsia="仿宋" w:hAnsi="仿宋" w:hint="eastAsia"/>
          <w:sz w:val="32"/>
          <w:szCs w:val="32"/>
        </w:rPr>
        <w:t>、</w:t>
      </w:r>
      <w:r w:rsidR="00A329BD" w:rsidRPr="00AD02BC">
        <w:rPr>
          <w:rFonts w:ascii="仿宋" w:eastAsia="仿宋" w:hAnsi="仿宋" w:hint="eastAsia"/>
          <w:sz w:val="32"/>
          <w:szCs w:val="32"/>
        </w:rPr>
        <w:t>网下</w:t>
      </w:r>
      <w:r w:rsidR="002E4022" w:rsidRPr="00AD02BC">
        <w:rPr>
          <w:rFonts w:ascii="仿宋" w:eastAsia="仿宋" w:hAnsi="仿宋" w:hint="eastAsia"/>
          <w:sz w:val="32"/>
          <w:szCs w:val="32"/>
        </w:rPr>
        <w:t>投资者</w:t>
      </w:r>
      <w:r w:rsidRPr="00AD02BC">
        <w:rPr>
          <w:rFonts w:ascii="仿宋" w:eastAsia="仿宋" w:hAnsi="仿宋" w:hint="eastAsia"/>
          <w:sz w:val="32"/>
          <w:szCs w:val="32"/>
        </w:rPr>
        <w:t>承诺持有期限内，不得融券卖出该上市公司股票。</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战略投资者</w:t>
      </w:r>
      <w:r w:rsidR="00EA0A97" w:rsidRPr="00AD02BC">
        <w:rPr>
          <w:rFonts w:ascii="仿宋" w:eastAsia="仿宋" w:hAnsi="仿宋" w:hint="eastAsia"/>
          <w:sz w:val="32"/>
          <w:szCs w:val="32"/>
        </w:rPr>
        <w:t>、</w:t>
      </w:r>
      <w:r w:rsidR="00BB361E" w:rsidRPr="00AD02BC">
        <w:rPr>
          <w:rFonts w:ascii="仿宋" w:eastAsia="仿宋" w:hAnsi="仿宋" w:hint="eastAsia"/>
          <w:sz w:val="32"/>
          <w:szCs w:val="32"/>
        </w:rPr>
        <w:t>网下</w:t>
      </w:r>
      <w:r w:rsidR="002E4022" w:rsidRPr="00AD02BC">
        <w:rPr>
          <w:rFonts w:ascii="仿宋" w:eastAsia="仿宋" w:hAnsi="仿宋" w:hint="eastAsia"/>
          <w:sz w:val="32"/>
          <w:szCs w:val="32"/>
        </w:rPr>
        <w:t>投资者</w:t>
      </w:r>
      <w:r w:rsidRPr="00AD02BC">
        <w:rPr>
          <w:rFonts w:ascii="仿宋" w:eastAsia="仿宋" w:hAnsi="仿宋" w:hint="eastAsia"/>
          <w:sz w:val="32"/>
          <w:szCs w:val="32"/>
        </w:rPr>
        <w:t>违反本条规定的，</w:t>
      </w:r>
      <w:r w:rsidR="003F7FF9" w:rsidRPr="00AD02BC">
        <w:rPr>
          <w:rFonts w:ascii="仿宋" w:eastAsia="仿宋" w:hAnsi="仿宋" w:hint="eastAsia"/>
          <w:sz w:val="32"/>
          <w:szCs w:val="32"/>
        </w:rPr>
        <w:t>深圳证券交易所（以下简称</w:t>
      </w:r>
      <w:r w:rsidRPr="00AD02BC">
        <w:rPr>
          <w:rFonts w:ascii="仿宋" w:eastAsia="仿宋" w:hAnsi="仿宋" w:hint="eastAsia"/>
          <w:sz w:val="32"/>
          <w:szCs w:val="32"/>
        </w:rPr>
        <w:t>深交所</w:t>
      </w:r>
      <w:r w:rsidR="003F7FF9" w:rsidRPr="00AD02BC">
        <w:rPr>
          <w:rFonts w:ascii="仿宋" w:eastAsia="仿宋" w:hAnsi="仿宋" w:hint="eastAsia"/>
          <w:sz w:val="32"/>
          <w:szCs w:val="32"/>
        </w:rPr>
        <w:t>）</w:t>
      </w:r>
      <w:r w:rsidRPr="00AD02BC">
        <w:rPr>
          <w:rFonts w:ascii="仿宋" w:eastAsia="仿宋" w:hAnsi="仿宋" w:hint="eastAsia"/>
          <w:sz w:val="32"/>
          <w:szCs w:val="32"/>
        </w:rPr>
        <w:t>可以视情节轻重，对其单独或合并采取口头或书面警示、约见谈话等自律监管措施和通报批评、公开谴责等纪律处分，并通报中国证券业协会。</w:t>
      </w:r>
    </w:p>
    <w:p w:rsidR="00DE7D34" w:rsidRPr="00AD02BC" w:rsidRDefault="000C03FB" w:rsidP="00410E0B">
      <w:pPr>
        <w:pStyle w:val="a5"/>
        <w:numPr>
          <w:ilvl w:val="0"/>
          <w:numId w:val="3"/>
        </w:numPr>
        <w:spacing w:line="560" w:lineRule="exact"/>
        <w:ind w:left="0" w:firstLine="640"/>
        <w:rPr>
          <w:rFonts w:ascii="仿宋" w:eastAsia="仿宋" w:hAnsi="仿宋"/>
          <w:color w:val="000000" w:themeColor="text1"/>
          <w:sz w:val="32"/>
          <w:szCs w:val="32"/>
        </w:rPr>
      </w:pPr>
      <w:r w:rsidRPr="00AD02BC">
        <w:rPr>
          <w:rFonts w:ascii="仿宋" w:eastAsia="仿宋" w:hAnsi="仿宋" w:hint="eastAsia"/>
          <w:color w:val="000000" w:themeColor="text1"/>
          <w:sz w:val="32"/>
          <w:szCs w:val="32"/>
        </w:rPr>
        <w:t>【</w:t>
      </w:r>
      <w:r w:rsidR="00FD5EE6" w:rsidRPr="00AD02BC">
        <w:rPr>
          <w:rFonts w:ascii="仿宋" w:eastAsia="仿宋" w:hAnsi="仿宋" w:hint="eastAsia"/>
          <w:color w:val="000000" w:themeColor="text1"/>
          <w:sz w:val="32"/>
          <w:szCs w:val="32"/>
        </w:rPr>
        <w:t>数据披露</w:t>
      </w:r>
      <w:r w:rsidRPr="00AD02BC">
        <w:rPr>
          <w:rFonts w:ascii="仿宋" w:eastAsia="仿宋" w:hAnsi="仿宋" w:hint="eastAsia"/>
          <w:color w:val="000000" w:themeColor="text1"/>
          <w:sz w:val="32"/>
          <w:szCs w:val="32"/>
        </w:rPr>
        <w:t>】</w:t>
      </w:r>
      <w:r w:rsidR="002036B1" w:rsidRPr="00AD02BC">
        <w:rPr>
          <w:rFonts w:ascii="仿宋" w:eastAsia="仿宋" w:hAnsi="仿宋" w:hint="eastAsia"/>
          <w:color w:val="000000" w:themeColor="text1"/>
          <w:sz w:val="32"/>
          <w:szCs w:val="32"/>
        </w:rPr>
        <w:t>深交所于每个交易日，公布按照《</w:t>
      </w:r>
      <w:r w:rsidR="00943C46" w:rsidRPr="00AD02BC">
        <w:rPr>
          <w:rFonts w:ascii="仿宋" w:eastAsia="仿宋" w:hAnsi="仿宋" w:hint="eastAsia"/>
          <w:color w:val="000000" w:themeColor="text1"/>
          <w:sz w:val="32"/>
          <w:szCs w:val="32"/>
        </w:rPr>
        <w:t>创业板注册管理办法</w:t>
      </w:r>
      <w:r w:rsidR="002036B1" w:rsidRPr="00AD02BC">
        <w:rPr>
          <w:rFonts w:ascii="仿宋" w:eastAsia="仿宋" w:hAnsi="仿宋" w:hint="eastAsia"/>
          <w:color w:val="000000" w:themeColor="text1"/>
          <w:sz w:val="32"/>
          <w:szCs w:val="32"/>
        </w:rPr>
        <w:t>》发行上市股票的限售流通股和</w:t>
      </w:r>
      <w:r w:rsidR="00943C46">
        <w:rPr>
          <w:rFonts w:ascii="仿宋" w:eastAsia="仿宋" w:hAnsi="仿宋" w:hint="eastAsia"/>
          <w:color w:val="000000" w:themeColor="text1"/>
          <w:sz w:val="32"/>
          <w:szCs w:val="32"/>
        </w:rPr>
        <w:t>无</w:t>
      </w:r>
      <w:r w:rsidR="002036B1" w:rsidRPr="00AD02BC">
        <w:rPr>
          <w:rFonts w:ascii="仿宋" w:eastAsia="仿宋" w:hAnsi="仿宋" w:hint="eastAsia"/>
          <w:color w:val="000000" w:themeColor="text1"/>
          <w:sz w:val="32"/>
          <w:szCs w:val="32"/>
        </w:rPr>
        <w:t>限售流通股数量，以及该股票</w:t>
      </w:r>
      <w:r w:rsidR="00410E0B" w:rsidRPr="00AD02BC">
        <w:rPr>
          <w:rFonts w:ascii="仿宋" w:eastAsia="仿宋" w:hAnsi="仿宋" w:hint="eastAsia"/>
          <w:color w:val="000000" w:themeColor="text1"/>
          <w:sz w:val="32"/>
          <w:szCs w:val="32"/>
        </w:rPr>
        <w:t>限售流通股可出借和已出借且尚未归还的数量。</w:t>
      </w:r>
    </w:p>
    <w:p w:rsidR="000C03FB" w:rsidRPr="00AD02BC" w:rsidRDefault="00FD5EE6"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【出借期限】</w:t>
      </w:r>
      <w:r w:rsidR="000C03FB" w:rsidRPr="00AD02BC">
        <w:rPr>
          <w:rFonts w:ascii="仿宋" w:eastAsia="仿宋" w:hAnsi="仿宋" w:hint="eastAsia"/>
          <w:sz w:val="32"/>
          <w:szCs w:val="32"/>
        </w:rPr>
        <w:t>通过约定申报方式参与证券出借的，证券出借期限可在1天至182天的区间内协商确定。</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【出借申报时间】深交所接受约定申报方式下出借人的出借申报时间为每个交易日的9:15至11:30、13:00至15:00。</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lastRenderedPageBreak/>
        <w:t>约定申报当日有效。未成交的申报，15:00前可以撤销。</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【出借停牌处理】标的证券在当日开市后停牌的，停牌期间</w:t>
      </w:r>
      <w:r w:rsidR="003F7FF9" w:rsidRPr="00AD02BC">
        <w:rPr>
          <w:rFonts w:ascii="仿宋" w:eastAsia="仿宋" w:hAnsi="仿宋" w:hint="eastAsia"/>
          <w:sz w:val="32"/>
          <w:szCs w:val="32"/>
        </w:rPr>
        <w:t>深交所</w:t>
      </w:r>
      <w:r w:rsidRPr="00AD02BC">
        <w:rPr>
          <w:rFonts w:ascii="仿宋" w:eastAsia="仿宋" w:hAnsi="仿宋" w:hint="eastAsia"/>
          <w:sz w:val="32"/>
          <w:szCs w:val="32"/>
        </w:rPr>
        <w:t>不接受其出借或借入申报，已申报但未成交的可以撤销。</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【出借申报数量】约定申报方式的申报数量应当符合以下规定：</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（一）单笔申报数量应当为100股（份）的整数倍；</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（二）最低单笔申报数量不得低于1000股（份），最大单笔申报数量不得超过1000万股（份）。</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非约定申报方式的申报数量应当符合以下规定：</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（一）单笔申报数量应当为100股（份）的整数倍；</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（二）出借人最低单笔申报数量不得低于1000股（份），最大单笔申报数量不得超过1000万股（份）；</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（三）中国证券金融公司最低单笔申报数量不得低于1000股（份），最大单笔申报数量不得超过1亿股（份）。</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深交所可以根据市场情况，对证券出借申报数量进行调整。</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【出借申报成交】深交所对证券出借约定申报进行实时撮合成交，生成成交数据，并对中国证券金融公司和出借人的账户可交易余额进行实时调整。</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【出借清算交收】当日交易结束后，中国证券登记结算有限责任公司（以下简称中国结算）根据深交所的成交数据，对通过约定申报方式达成的证券出借以多边净额结算方式进行清算交收。</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lastRenderedPageBreak/>
        <w:t>【暂停、终止出借】深交所可以根据市场状况，暂停单只或全部创业板股票参与证券出借。</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出借人在开展证券出借过程中发生重大风险事件的，深交所可暂停或终止为其提供证券出借服务。</w:t>
      </w:r>
    </w:p>
    <w:p w:rsidR="000C03FB" w:rsidRPr="00AD02BC" w:rsidRDefault="000C03FB" w:rsidP="001C02B5">
      <w:pPr>
        <w:spacing w:line="560" w:lineRule="exact"/>
        <w:ind w:firstLineChars="200" w:firstLine="640"/>
        <w:rPr>
          <w:rFonts w:ascii="仿宋" w:eastAsia="仿宋" w:hAnsi="仿宋"/>
          <w:sz w:val="32"/>
          <w:szCs w:val="32"/>
        </w:rPr>
      </w:pPr>
    </w:p>
    <w:p w:rsidR="000C03FB" w:rsidRPr="0090070E" w:rsidRDefault="000C03FB" w:rsidP="001C02B5">
      <w:pPr>
        <w:numPr>
          <w:ilvl w:val="0"/>
          <w:numId w:val="2"/>
        </w:numPr>
        <w:spacing w:line="560" w:lineRule="exact"/>
        <w:ind w:left="0" w:firstLine="0"/>
        <w:jc w:val="center"/>
        <w:rPr>
          <w:rFonts w:ascii="黑体" w:eastAsia="黑体" w:hAnsi="黑体"/>
          <w:sz w:val="32"/>
          <w:szCs w:val="32"/>
        </w:rPr>
      </w:pPr>
      <w:r w:rsidRPr="0090070E">
        <w:rPr>
          <w:rFonts w:ascii="黑体" w:eastAsia="黑体" w:hAnsi="黑体" w:hint="eastAsia"/>
          <w:sz w:val="32"/>
          <w:szCs w:val="32"/>
        </w:rPr>
        <w:t>转融券业务</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【借入人】符合以下条件的证券公司，可以作为借入人通过约定申报和非约定申报方式参与转融券业务：</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（一）具有融资融券业务资格并已开通转融通业务权限；</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（二）业务管理制度和风险控制制度健全，具有切实可行的业务实施方案；</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（三）技术系统准备就绪；</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（四）中国证券金融公司规定的其他条件。</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【标的证券】转融券业务的标的证券名单，由中国证券金融公司根据市场状况确定，并在每一交易日开市前公布。</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w:t>
      </w:r>
      <w:r w:rsidR="00043B8B" w:rsidRPr="00AD02BC">
        <w:rPr>
          <w:rFonts w:ascii="仿宋" w:eastAsia="仿宋" w:hAnsi="仿宋" w:hint="eastAsia"/>
          <w:sz w:val="32"/>
          <w:szCs w:val="32"/>
        </w:rPr>
        <w:t>限售</w:t>
      </w:r>
      <w:r w:rsidRPr="00AD02BC">
        <w:rPr>
          <w:rFonts w:ascii="仿宋" w:eastAsia="仿宋" w:hAnsi="仿宋" w:hint="eastAsia"/>
          <w:sz w:val="32"/>
          <w:szCs w:val="32"/>
        </w:rPr>
        <w:t>出借】战略投资者</w:t>
      </w:r>
      <w:r w:rsidR="00EA0A97" w:rsidRPr="00AD02BC">
        <w:rPr>
          <w:rFonts w:ascii="仿宋" w:eastAsia="仿宋" w:hAnsi="仿宋" w:hint="eastAsia"/>
          <w:sz w:val="32"/>
          <w:szCs w:val="32"/>
        </w:rPr>
        <w:t>、</w:t>
      </w:r>
      <w:r w:rsidR="00F562AA" w:rsidRPr="00AD02BC">
        <w:rPr>
          <w:rFonts w:ascii="仿宋" w:eastAsia="仿宋" w:hAnsi="仿宋" w:hint="eastAsia"/>
          <w:sz w:val="32"/>
          <w:szCs w:val="32"/>
        </w:rPr>
        <w:t>网下</w:t>
      </w:r>
      <w:r w:rsidR="002E4022" w:rsidRPr="00AD02BC">
        <w:rPr>
          <w:rFonts w:ascii="仿宋" w:eastAsia="仿宋" w:hAnsi="仿宋" w:hint="eastAsia"/>
          <w:sz w:val="32"/>
          <w:szCs w:val="32"/>
        </w:rPr>
        <w:t>投资者</w:t>
      </w:r>
      <w:r w:rsidRPr="00AD02BC">
        <w:rPr>
          <w:rFonts w:ascii="仿宋" w:eastAsia="仿宋" w:hAnsi="仿宋" w:hint="eastAsia"/>
          <w:sz w:val="32"/>
          <w:szCs w:val="32"/>
        </w:rPr>
        <w:t>在承诺</w:t>
      </w:r>
      <w:r w:rsidR="00D30CB6" w:rsidRPr="00AD02BC">
        <w:rPr>
          <w:rFonts w:ascii="仿宋" w:eastAsia="仿宋" w:hAnsi="仿宋" w:hint="eastAsia"/>
          <w:sz w:val="32"/>
          <w:szCs w:val="32"/>
        </w:rPr>
        <w:t>的</w:t>
      </w:r>
      <w:r w:rsidRPr="00AD02BC">
        <w:rPr>
          <w:rFonts w:ascii="仿宋" w:eastAsia="仿宋" w:hAnsi="仿宋" w:hint="eastAsia"/>
          <w:sz w:val="32"/>
          <w:szCs w:val="32"/>
        </w:rPr>
        <w:t>持有期限内，可以按本规定向中国证券金融公司借出配售获得的股票</w:t>
      </w:r>
      <w:r w:rsidR="00462360">
        <w:rPr>
          <w:rFonts w:ascii="仿宋" w:eastAsia="仿宋" w:hAnsi="仿宋" w:hint="eastAsia"/>
          <w:sz w:val="32"/>
          <w:szCs w:val="32"/>
        </w:rPr>
        <w:t>，</w:t>
      </w:r>
      <w:r w:rsidR="00462360" w:rsidRPr="00A57AE0">
        <w:rPr>
          <w:rFonts w:ascii="仿宋" w:eastAsia="仿宋" w:hAnsi="仿宋" w:hint="eastAsia"/>
          <w:sz w:val="32"/>
          <w:szCs w:val="32"/>
        </w:rPr>
        <w:t>该部分股票出借后，按照无限售流通股管理</w:t>
      </w:r>
      <w:r w:rsidRPr="00AD02BC">
        <w:rPr>
          <w:rFonts w:ascii="仿宋" w:eastAsia="仿宋" w:hAnsi="仿宋" w:hint="eastAsia"/>
          <w:sz w:val="32"/>
          <w:szCs w:val="32"/>
        </w:rPr>
        <w:t>。中国证券金融公司可以根据市场需求，将借入的战略投资者</w:t>
      </w:r>
      <w:r w:rsidR="0013457A">
        <w:rPr>
          <w:rFonts w:ascii="仿宋" w:eastAsia="仿宋" w:hAnsi="仿宋" w:hint="eastAsia"/>
          <w:sz w:val="32"/>
          <w:szCs w:val="32"/>
        </w:rPr>
        <w:t>或网下投资者</w:t>
      </w:r>
      <w:r w:rsidRPr="00AD02BC">
        <w:rPr>
          <w:rFonts w:ascii="仿宋" w:eastAsia="仿宋" w:hAnsi="仿宋" w:hint="eastAsia"/>
          <w:sz w:val="32"/>
          <w:szCs w:val="32"/>
        </w:rPr>
        <w:t>配售股票出借给证券公司，供其办理融券业务。</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借出期限届满后，中国证券金融公司应当将借入的股票返还给战略投资者</w:t>
      </w:r>
      <w:r w:rsidR="00F562AA" w:rsidRPr="00AD02BC">
        <w:rPr>
          <w:rFonts w:ascii="仿宋" w:eastAsia="仿宋" w:hAnsi="仿宋" w:hint="eastAsia"/>
          <w:sz w:val="32"/>
          <w:szCs w:val="32"/>
        </w:rPr>
        <w:t>或网下投资者</w:t>
      </w:r>
      <w:r w:rsidRPr="00AD02BC">
        <w:rPr>
          <w:rFonts w:ascii="仿宋" w:eastAsia="仿宋" w:hAnsi="仿宋" w:hint="eastAsia"/>
          <w:sz w:val="32"/>
          <w:szCs w:val="32"/>
        </w:rPr>
        <w:t>。该部分股票归还后，继续</w:t>
      </w:r>
      <w:r w:rsidRPr="00AD02BC">
        <w:rPr>
          <w:rFonts w:ascii="仿宋" w:eastAsia="仿宋" w:hAnsi="仿宋" w:hint="eastAsia"/>
          <w:sz w:val="32"/>
          <w:szCs w:val="32"/>
        </w:rPr>
        <w:lastRenderedPageBreak/>
        <w:t>按</w:t>
      </w:r>
      <w:r w:rsidR="00F562AA" w:rsidRPr="00AD02BC">
        <w:rPr>
          <w:rFonts w:ascii="仿宋" w:eastAsia="仿宋" w:hAnsi="仿宋" w:hint="eastAsia"/>
          <w:sz w:val="32"/>
          <w:szCs w:val="32"/>
        </w:rPr>
        <w:t>配售获得的</w:t>
      </w:r>
      <w:r w:rsidR="00462360" w:rsidRPr="00A57AE0">
        <w:rPr>
          <w:rFonts w:ascii="仿宋" w:eastAsia="仿宋" w:hAnsi="仿宋" w:hint="eastAsia"/>
          <w:sz w:val="32"/>
          <w:szCs w:val="32"/>
        </w:rPr>
        <w:t>在承诺持有期限内的</w:t>
      </w:r>
      <w:r w:rsidRPr="00AD02BC">
        <w:rPr>
          <w:rFonts w:ascii="仿宋" w:eastAsia="仿宋" w:hAnsi="仿宋" w:hint="eastAsia"/>
          <w:sz w:val="32"/>
          <w:szCs w:val="32"/>
        </w:rPr>
        <w:t>股份管理。</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【转融券申报数量】借入人以约定申报方式和非约定申报方式提交的转融券申报指令应当符合以下规定：</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（一）单笔申报数量应当为100股（份）的整数倍；</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（二）最低单笔申报数量不得低于1000股（份），最大单笔申报数量不得超过1000万股（份）。</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【转融券申报时间】中国证券金融公司接受借入人转融券约定申报指令的时间为每个交易日</w:t>
      </w:r>
      <w:r w:rsidRPr="00AD02BC">
        <w:rPr>
          <w:rFonts w:ascii="仿宋" w:eastAsia="仿宋" w:hAnsi="仿宋" w:hint="eastAsia"/>
          <w:color w:val="000000" w:themeColor="text1"/>
          <w:sz w:val="32"/>
          <w:szCs w:val="32"/>
        </w:rPr>
        <w:t>9:15至11:30、13:00至15:00。</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转融券约定申报指令未成交的，借入人可在15:00前撤销。</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【转融券期限】通过约定申报方式参与转融券业务的，转融券期限可在1天至182天的区间内协商确定。</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【转融券费率】通过约定申报方式参与转融券业务的，转融券费率应符合以下规定：</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（一）借入人申报的费率=出借人申报的费率+转融券费率差；</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（二）借入人申报的费率不得低于或等于转融券费率差。</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转融券费率差按中国证券金融公司公布的标准执行。中国证券金融公司可以根据市场供求等因素调整转融券费率差。</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【保证金】中国证券金融公司可以根据借</w:t>
      </w:r>
      <w:r w:rsidRPr="00AD02BC">
        <w:rPr>
          <w:rFonts w:ascii="仿宋" w:eastAsia="仿宋" w:hAnsi="仿宋" w:hint="eastAsia"/>
          <w:sz w:val="32"/>
          <w:szCs w:val="32"/>
        </w:rPr>
        <w:lastRenderedPageBreak/>
        <w:t>入人资信情况和转融通担保证券、资金明细账户的资产情况，按照一定的综合比例，确定对借入人开展转融券业务应收取的保证金。</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前款应收取的保证金比例可低于20%，其中货币资金占应收取保证金的比例不得低于15%。</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【证券账户】证券公司向中国证券金融公司借入证券用于融资融券业务的，应当使用证券公司融券专用证券账户。</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【转融券申报成交】中国证券金融公司按照一一对应原则，对转融券约定申报实时撮合成交，生成转融券约定申报成交数据，并实时发送深交所。</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深交所接受转融券约定申报成交数据的时间为每个交易日9:15至11:30、13:00至15:30。转融券约定申报成交数据当日有效。</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【转融券停牌处理】标的证券全天停牌的，深交所不接受有关的转融券约定申报成交数据。</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标的证券在当日开市后停牌的，停牌期间深交所正常接受转融券约定申报成交数据。</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【非约定申报】对转融券非约定申报，仍按照现有规定执行，采用盘中申报、盘后一次性按比例撮合成交，中国结算日终根据中国证券金融公司直接发送的成交数据进行证券划转。</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【转融券成交数据申报】深交所接受中国证券金融公司发送的转融券约定申报成交数据后，对中国证券</w:t>
      </w:r>
      <w:r w:rsidRPr="00AD02BC">
        <w:rPr>
          <w:rFonts w:ascii="仿宋" w:eastAsia="仿宋" w:hAnsi="仿宋" w:hint="eastAsia"/>
          <w:sz w:val="32"/>
          <w:szCs w:val="32"/>
        </w:rPr>
        <w:lastRenderedPageBreak/>
        <w:t>金融公司和借入人的账户可交易余额进行实时调整确认，并向中国证券金融公司发送调整结果。</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转融券约定申报成交数据要素包括：中国证券金融公司证券账户、中国证券金融公司托管单元代码、借入人证券账户、借入人托管单元代码、证券代码、划转数量等。</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中国证券金融公司接受前款调整结果后，实时向借入人发送转融券约定申报成交结果和账户可交易余额调整结果。</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【转融券清算交收】</w:t>
      </w:r>
      <w:r w:rsidR="00773AC1" w:rsidRPr="00AD02BC">
        <w:rPr>
          <w:rFonts w:ascii="仿宋" w:eastAsia="仿宋" w:hAnsi="仿宋" w:hint="eastAsia"/>
          <w:sz w:val="32"/>
          <w:szCs w:val="32"/>
        </w:rPr>
        <w:t>深交所根据本规定第</w:t>
      </w:r>
      <w:r w:rsidR="00515E50" w:rsidRPr="00AD02BC">
        <w:rPr>
          <w:rFonts w:ascii="仿宋" w:eastAsia="仿宋" w:hAnsi="仿宋" w:hint="eastAsia"/>
          <w:sz w:val="32"/>
          <w:szCs w:val="32"/>
        </w:rPr>
        <w:t>三十</w:t>
      </w:r>
      <w:r w:rsidR="00773AC1" w:rsidRPr="00AD02BC">
        <w:rPr>
          <w:rFonts w:ascii="仿宋" w:eastAsia="仿宋" w:hAnsi="仿宋" w:hint="eastAsia"/>
          <w:sz w:val="32"/>
          <w:szCs w:val="32"/>
        </w:rPr>
        <w:t>条对中国证券金融公司和借入人的账户可交易余额完成调整的</w:t>
      </w:r>
      <w:r w:rsidRPr="00AD02BC">
        <w:rPr>
          <w:rFonts w:ascii="仿宋" w:eastAsia="仿宋" w:hAnsi="仿宋" w:hint="eastAsia"/>
          <w:sz w:val="32"/>
          <w:szCs w:val="32"/>
        </w:rPr>
        <w:t>，深交所将中国证券金融公司该部分转融券约定申报成交数据发送中国结算，当日交易结束后，中国结算据此对转融券约定申报的成交以多边净额结算方式进行清算交收。</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【特殊情况处理】因特殊原因，导致中国证券金融公司和借入人账户可交易余额未做实时调整的，当日交易结束后，中国证券金融公司就该部分转融券约定申报成交数据，向中国结算发送证券划转指令。</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中国结算在日终对符合要求的证券划转指令进行划转处理，且只对已完成证券交收或净应付证券交收锁定之后的证券进行划出处理。如果委托划出的证券数量大于该证券账户中可划出的该种证券的数量，则对该笔证券划转指令不做划转处理。</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【展期、提前了结申报】借入人和出借人协商一致，可申请转融券约定申报的展期、提前了结，经中</w:t>
      </w:r>
      <w:r w:rsidRPr="00AD02BC">
        <w:rPr>
          <w:rFonts w:ascii="仿宋" w:eastAsia="仿宋" w:hAnsi="仿宋" w:hint="eastAsia"/>
          <w:sz w:val="32"/>
          <w:szCs w:val="32"/>
        </w:rPr>
        <w:lastRenderedPageBreak/>
        <w:t>国证券金融公司同意后可以展期或提前了结。</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借入人和出借人应在原合约到期日前的同一交易日向中国证券金融公司提交展期指令；在商定的归还日前的同一交易日提交提前了结指令。</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提交展期或提前了结指令的时间为每个交易日9:30至11:30、13:00至15:00。展期或提前了结指令当日有效，在15:00前可撤销。</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【展期、提前了结协商】转融券展期的，展期数量、期限、费率由借入人和出借人按照本规定协商确定。</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借入人和出借人协商提前了结的，应一次性全部提前了结该笔转融券业务。提前了结时，双方可以协商调整原费率。</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【提前了结权益处理】转融券业务提前了结的，相关权益补偿一并提前了结。权益补偿日需重新计算，其中原转融券归还日为出借人和借入人商定的归还日。</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转融券展期的，相关权益补偿不进行展期。</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转融券要素】通过约定申报进行转融券业务，以及相关展期、提前了结等过程中，借入人和出借人应当合理确定费率、期限、实际出借天数等要素，不得违反中国证券金融公司相关规定，禁止任何形式的利益输送。</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【归还证券】证券公司向中国证券金融公司归还所借证券的，证券公司通过中国结算从证券公司融券专用证券账户将归还证券划付至中国证券金融公司转融通专用证券账户。</w:t>
      </w:r>
    </w:p>
    <w:p w:rsidR="000C03FB" w:rsidRPr="00AD02BC" w:rsidRDefault="000C03FB" w:rsidP="00A81178">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lastRenderedPageBreak/>
        <w:t>【暂停、终止转融券】中国证券金融公司可以根据市场状况，暂停单只或全部创业板证券参与转融券业务。</w:t>
      </w:r>
    </w:p>
    <w:p w:rsidR="000C03FB" w:rsidRPr="00AD02BC" w:rsidRDefault="000C03FB" w:rsidP="001C02B5">
      <w:pPr>
        <w:spacing w:line="560" w:lineRule="exact"/>
        <w:ind w:firstLineChars="200" w:firstLine="640"/>
        <w:rPr>
          <w:rFonts w:ascii="仿宋" w:eastAsia="仿宋" w:hAnsi="仿宋"/>
          <w:sz w:val="32"/>
          <w:szCs w:val="32"/>
        </w:rPr>
      </w:pPr>
      <w:r w:rsidRPr="00AD02BC">
        <w:rPr>
          <w:rFonts w:ascii="仿宋" w:eastAsia="仿宋" w:hAnsi="仿宋" w:hint="eastAsia"/>
          <w:sz w:val="32"/>
          <w:szCs w:val="32"/>
        </w:rPr>
        <w:t>借入人在开展转融券业务过程中发生重大风险事件的，中国证券金融公司可暂停或终止为其提供转融券服务。</w:t>
      </w:r>
    </w:p>
    <w:p w:rsidR="001C02B5" w:rsidRPr="00AD02BC" w:rsidRDefault="001C02B5" w:rsidP="001C02B5">
      <w:pPr>
        <w:spacing w:line="560" w:lineRule="exact"/>
        <w:ind w:firstLineChars="200" w:firstLine="640"/>
        <w:rPr>
          <w:rFonts w:ascii="仿宋" w:eastAsia="仿宋" w:hAnsi="仿宋"/>
          <w:sz w:val="32"/>
          <w:szCs w:val="32"/>
        </w:rPr>
      </w:pPr>
    </w:p>
    <w:p w:rsidR="000C03FB" w:rsidRPr="0090070E" w:rsidRDefault="000C03FB" w:rsidP="001C02B5">
      <w:pPr>
        <w:numPr>
          <w:ilvl w:val="0"/>
          <w:numId w:val="2"/>
        </w:numPr>
        <w:spacing w:line="560" w:lineRule="exact"/>
        <w:ind w:left="0" w:firstLine="0"/>
        <w:jc w:val="center"/>
        <w:rPr>
          <w:rFonts w:ascii="黑体" w:eastAsia="黑体" w:hAnsi="黑体"/>
          <w:sz w:val="32"/>
          <w:szCs w:val="32"/>
        </w:rPr>
      </w:pPr>
      <w:r w:rsidRPr="0090070E">
        <w:rPr>
          <w:rFonts w:ascii="黑体" w:eastAsia="黑体" w:hAnsi="黑体" w:hint="eastAsia"/>
          <w:sz w:val="32"/>
          <w:szCs w:val="32"/>
        </w:rPr>
        <w:t>附则</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【借券用途】经中国证监会批准，中国证券金融公司可将自有或依法筹集的证券出借给证券公司，供其用于做市与风险对冲，相关事项另行规定。</w:t>
      </w:r>
    </w:p>
    <w:p w:rsidR="000C03FB" w:rsidRPr="00AD02BC" w:rsidRDefault="000C03FB" w:rsidP="001C02B5">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【规则解释】本规定由深交所、中国证券金融公司、中国结算负责解释。</w:t>
      </w:r>
    </w:p>
    <w:p w:rsidR="000C03FB" w:rsidRPr="00FC5896" w:rsidRDefault="000C03FB" w:rsidP="00FC5896">
      <w:pPr>
        <w:pStyle w:val="a5"/>
        <w:numPr>
          <w:ilvl w:val="0"/>
          <w:numId w:val="3"/>
        </w:numPr>
        <w:spacing w:line="560" w:lineRule="exact"/>
        <w:ind w:left="0" w:firstLine="640"/>
        <w:rPr>
          <w:rFonts w:ascii="仿宋" w:eastAsia="仿宋" w:hAnsi="仿宋"/>
          <w:sz w:val="32"/>
          <w:szCs w:val="32"/>
        </w:rPr>
      </w:pPr>
      <w:r w:rsidRPr="00AD02BC">
        <w:rPr>
          <w:rFonts w:ascii="仿宋" w:eastAsia="仿宋" w:hAnsi="仿宋" w:hint="eastAsia"/>
          <w:sz w:val="32"/>
          <w:szCs w:val="32"/>
        </w:rPr>
        <w:t>【规则制定修改】本规定的制定和修改，报中国证监会批准。</w:t>
      </w:r>
    </w:p>
    <w:sectPr w:rsidR="000C03FB" w:rsidRPr="00FC5896" w:rsidSect="001C02B5">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BA" w:rsidRDefault="002C6EBA" w:rsidP="00AA6B35">
      <w:r>
        <w:separator/>
      </w:r>
    </w:p>
  </w:endnote>
  <w:endnote w:type="continuationSeparator" w:id="0">
    <w:p w:rsidR="002C6EBA" w:rsidRDefault="002C6EBA" w:rsidP="00AA6B35">
      <w:r>
        <w:continuationSeparator/>
      </w:r>
    </w:p>
  </w:endnote>
  <w:endnote w:type="continuationNotice" w:id="1">
    <w:p w:rsidR="002C6EBA" w:rsidRDefault="002C6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B5" w:rsidRPr="003E5AD5" w:rsidRDefault="001C02B5" w:rsidP="001C02B5">
    <w:pPr>
      <w:framePr w:wrap="around" w:vAnchor="text" w:hAnchor="page" w:x="1831" w:y="-10"/>
      <w:tabs>
        <w:tab w:val="center" w:pos="4153"/>
        <w:tab w:val="right" w:pos="8306"/>
      </w:tabs>
      <w:snapToGrid w:val="0"/>
      <w:ind w:left="440" w:hanging="440"/>
      <w:jc w:val="left"/>
      <w:rPr>
        <w:rFonts w:ascii="宋体" w:eastAsia="宋体" w:hAnsi="宋体" w:cs="Times New Roman"/>
        <w:sz w:val="28"/>
        <w:szCs w:val="28"/>
      </w:rPr>
    </w:pPr>
    <w:r w:rsidRPr="003E5AD5">
      <w:rPr>
        <w:rFonts w:ascii="宋体" w:eastAsia="宋体" w:hAnsi="宋体" w:cs="Times New Roman" w:hint="eastAsia"/>
        <w:sz w:val="28"/>
        <w:szCs w:val="28"/>
      </w:rPr>
      <w:t xml:space="preserve">— </w:t>
    </w:r>
    <w:r w:rsidRPr="003E5AD5">
      <w:rPr>
        <w:rFonts w:ascii="宋体" w:eastAsia="宋体" w:hAnsi="宋体" w:cs="Times New Roman"/>
        <w:sz w:val="28"/>
        <w:szCs w:val="28"/>
      </w:rPr>
      <w:fldChar w:fldCharType="begin"/>
    </w:r>
    <w:r w:rsidRPr="003E5AD5">
      <w:rPr>
        <w:rFonts w:ascii="宋体" w:eastAsia="宋体" w:hAnsi="宋体" w:cs="Times New Roman"/>
        <w:sz w:val="28"/>
        <w:szCs w:val="28"/>
      </w:rPr>
      <w:instrText xml:space="preserve">PAGE  </w:instrText>
    </w:r>
    <w:r w:rsidRPr="003E5AD5">
      <w:rPr>
        <w:rFonts w:ascii="宋体" w:eastAsia="宋体" w:hAnsi="宋体" w:cs="Times New Roman"/>
        <w:sz w:val="28"/>
        <w:szCs w:val="28"/>
      </w:rPr>
      <w:fldChar w:fldCharType="separate"/>
    </w:r>
    <w:r w:rsidR="003C509B">
      <w:rPr>
        <w:rFonts w:ascii="宋体" w:eastAsia="宋体" w:hAnsi="宋体" w:cs="Times New Roman"/>
        <w:noProof/>
        <w:sz w:val="28"/>
        <w:szCs w:val="28"/>
      </w:rPr>
      <w:t>10</w:t>
    </w:r>
    <w:r w:rsidRPr="003E5AD5">
      <w:rPr>
        <w:rFonts w:ascii="宋体" w:eastAsia="宋体" w:hAnsi="宋体" w:cs="Times New Roman"/>
        <w:sz w:val="28"/>
        <w:szCs w:val="28"/>
      </w:rPr>
      <w:fldChar w:fldCharType="end"/>
    </w:r>
    <w:r w:rsidRPr="003E5AD5">
      <w:rPr>
        <w:rFonts w:ascii="宋体" w:eastAsia="宋体" w:hAnsi="宋体" w:cs="Times New Roman" w:hint="eastAsia"/>
        <w:sz w:val="28"/>
        <w:szCs w:val="28"/>
      </w:rPr>
      <w:t xml:space="preserve"> —</w:t>
    </w:r>
  </w:p>
  <w:p w:rsidR="001C02B5" w:rsidRDefault="001C02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B5" w:rsidRPr="003E5AD5" w:rsidRDefault="001C02B5" w:rsidP="001C02B5">
    <w:pPr>
      <w:framePr w:wrap="around" w:vAnchor="text" w:hAnchor="page" w:x="9186" w:y="1"/>
      <w:tabs>
        <w:tab w:val="center" w:pos="4153"/>
        <w:tab w:val="right" w:pos="8306"/>
      </w:tabs>
      <w:snapToGrid w:val="0"/>
      <w:ind w:left="440" w:hanging="440"/>
      <w:jc w:val="left"/>
      <w:rPr>
        <w:rFonts w:ascii="宋体" w:eastAsia="宋体" w:hAnsi="宋体" w:cs="Times New Roman"/>
        <w:sz w:val="28"/>
        <w:szCs w:val="28"/>
      </w:rPr>
    </w:pPr>
    <w:r w:rsidRPr="003E5AD5">
      <w:rPr>
        <w:rFonts w:ascii="宋体" w:eastAsia="宋体" w:hAnsi="宋体" w:cs="Times New Roman" w:hint="eastAsia"/>
        <w:sz w:val="28"/>
        <w:szCs w:val="28"/>
      </w:rPr>
      <w:t xml:space="preserve">— </w:t>
    </w:r>
    <w:r w:rsidRPr="003E5AD5">
      <w:rPr>
        <w:rFonts w:ascii="宋体" w:eastAsia="宋体" w:hAnsi="宋体" w:cs="Times New Roman"/>
        <w:sz w:val="28"/>
        <w:szCs w:val="28"/>
      </w:rPr>
      <w:fldChar w:fldCharType="begin"/>
    </w:r>
    <w:r w:rsidRPr="003E5AD5">
      <w:rPr>
        <w:rFonts w:ascii="宋体" w:eastAsia="宋体" w:hAnsi="宋体" w:cs="Times New Roman"/>
        <w:sz w:val="28"/>
        <w:szCs w:val="28"/>
      </w:rPr>
      <w:instrText xml:space="preserve">PAGE  </w:instrText>
    </w:r>
    <w:r w:rsidRPr="003E5AD5">
      <w:rPr>
        <w:rFonts w:ascii="宋体" w:eastAsia="宋体" w:hAnsi="宋体" w:cs="Times New Roman"/>
        <w:sz w:val="28"/>
        <w:szCs w:val="28"/>
      </w:rPr>
      <w:fldChar w:fldCharType="separate"/>
    </w:r>
    <w:r w:rsidR="003C509B">
      <w:rPr>
        <w:rFonts w:ascii="宋体" w:eastAsia="宋体" w:hAnsi="宋体" w:cs="Times New Roman"/>
        <w:noProof/>
        <w:sz w:val="28"/>
        <w:szCs w:val="28"/>
      </w:rPr>
      <w:t>9</w:t>
    </w:r>
    <w:r w:rsidRPr="003E5AD5">
      <w:rPr>
        <w:rFonts w:ascii="宋体" w:eastAsia="宋体" w:hAnsi="宋体" w:cs="Times New Roman"/>
        <w:sz w:val="28"/>
        <w:szCs w:val="28"/>
      </w:rPr>
      <w:fldChar w:fldCharType="end"/>
    </w:r>
    <w:r w:rsidRPr="003E5AD5">
      <w:rPr>
        <w:rFonts w:ascii="宋体" w:eastAsia="宋体" w:hAnsi="宋体" w:cs="Times New Roman" w:hint="eastAsia"/>
        <w:sz w:val="28"/>
        <w:szCs w:val="28"/>
      </w:rPr>
      <w:t xml:space="preserve"> —</w:t>
    </w:r>
  </w:p>
  <w:p w:rsidR="00D40ECF" w:rsidRDefault="00D40E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BA" w:rsidRDefault="002C6EBA" w:rsidP="00AA6B35">
      <w:r>
        <w:separator/>
      </w:r>
    </w:p>
  </w:footnote>
  <w:footnote w:type="continuationSeparator" w:id="0">
    <w:p w:rsidR="002C6EBA" w:rsidRDefault="002C6EBA" w:rsidP="00AA6B35">
      <w:r>
        <w:continuationSeparator/>
      </w:r>
    </w:p>
  </w:footnote>
  <w:footnote w:type="continuationNotice" w:id="1">
    <w:p w:rsidR="002C6EBA" w:rsidRDefault="002C6E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3702F"/>
    <w:multiLevelType w:val="hybridMultilevel"/>
    <w:tmpl w:val="F31C2258"/>
    <w:lvl w:ilvl="0" w:tplc="0EA64254">
      <w:start w:val="1"/>
      <w:numFmt w:val="japaneseCounting"/>
      <w:lvlText w:val="第%1章"/>
      <w:lvlJc w:val="left"/>
      <w:pPr>
        <w:ind w:left="1080" w:hanging="10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AD37AA"/>
    <w:multiLevelType w:val="hybridMultilevel"/>
    <w:tmpl w:val="FC76DEE8"/>
    <w:lvl w:ilvl="0" w:tplc="D1702B6A">
      <w:start w:val="1"/>
      <w:numFmt w:val="japaneseCounting"/>
      <w:lvlText w:val="%1、"/>
      <w:lvlJc w:val="left"/>
      <w:pPr>
        <w:ind w:left="1429"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750B70BC"/>
    <w:multiLevelType w:val="hybridMultilevel"/>
    <w:tmpl w:val="58A4DE7A"/>
    <w:lvl w:ilvl="0" w:tplc="83E09D84">
      <w:start w:val="1"/>
      <w:numFmt w:val="japaneseCounting"/>
      <w:lvlText w:val="第%1条"/>
      <w:lvlJc w:val="left"/>
      <w:pPr>
        <w:ind w:left="3063" w:hanging="1644"/>
      </w:pPr>
      <w:rPr>
        <w:rFonts w:ascii="仿宋" w:eastAsia="仿宋" w:hAnsi="仿宋" w:hint="eastAsia"/>
        <w:b/>
        <w:sz w:val="32"/>
        <w:szCs w:val="3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FE7893"/>
    <w:rsid w:val="0000115A"/>
    <w:rsid w:val="00007E14"/>
    <w:rsid w:val="00014C08"/>
    <w:rsid w:val="000157BA"/>
    <w:rsid w:val="00022995"/>
    <w:rsid w:val="00026CE5"/>
    <w:rsid w:val="000307C3"/>
    <w:rsid w:val="000309FD"/>
    <w:rsid w:val="00033DB4"/>
    <w:rsid w:val="00033EFC"/>
    <w:rsid w:val="00043B8B"/>
    <w:rsid w:val="000440D9"/>
    <w:rsid w:val="00046459"/>
    <w:rsid w:val="00054367"/>
    <w:rsid w:val="000558A9"/>
    <w:rsid w:val="00056B41"/>
    <w:rsid w:val="000628A9"/>
    <w:rsid w:val="00063884"/>
    <w:rsid w:val="00063B22"/>
    <w:rsid w:val="000645C5"/>
    <w:rsid w:val="00070759"/>
    <w:rsid w:val="00073F40"/>
    <w:rsid w:val="00077F47"/>
    <w:rsid w:val="000835D8"/>
    <w:rsid w:val="0008727D"/>
    <w:rsid w:val="0009221D"/>
    <w:rsid w:val="00094F9B"/>
    <w:rsid w:val="0009662C"/>
    <w:rsid w:val="000A6370"/>
    <w:rsid w:val="000B07F4"/>
    <w:rsid w:val="000B1A42"/>
    <w:rsid w:val="000B2E0A"/>
    <w:rsid w:val="000B585E"/>
    <w:rsid w:val="000B6DFD"/>
    <w:rsid w:val="000C03FB"/>
    <w:rsid w:val="000C175A"/>
    <w:rsid w:val="000C207A"/>
    <w:rsid w:val="000C36DD"/>
    <w:rsid w:val="000C372A"/>
    <w:rsid w:val="000C3E3A"/>
    <w:rsid w:val="000C57D7"/>
    <w:rsid w:val="000D50B0"/>
    <w:rsid w:val="000D53E3"/>
    <w:rsid w:val="000D58D7"/>
    <w:rsid w:val="000D72DC"/>
    <w:rsid w:val="000D7B9D"/>
    <w:rsid w:val="000E1BAB"/>
    <w:rsid w:val="000E23B2"/>
    <w:rsid w:val="000E6D2F"/>
    <w:rsid w:val="000E77E2"/>
    <w:rsid w:val="000F1923"/>
    <w:rsid w:val="000F72EF"/>
    <w:rsid w:val="001021B9"/>
    <w:rsid w:val="00110C20"/>
    <w:rsid w:val="00116AD8"/>
    <w:rsid w:val="001243DD"/>
    <w:rsid w:val="00126E39"/>
    <w:rsid w:val="00127EBD"/>
    <w:rsid w:val="0013457A"/>
    <w:rsid w:val="001348CB"/>
    <w:rsid w:val="00135527"/>
    <w:rsid w:val="00154DA2"/>
    <w:rsid w:val="00167CA5"/>
    <w:rsid w:val="0017471B"/>
    <w:rsid w:val="001767EB"/>
    <w:rsid w:val="0018107B"/>
    <w:rsid w:val="00181797"/>
    <w:rsid w:val="00186D9F"/>
    <w:rsid w:val="00190E69"/>
    <w:rsid w:val="001916A8"/>
    <w:rsid w:val="001A6538"/>
    <w:rsid w:val="001B6DAC"/>
    <w:rsid w:val="001C02B5"/>
    <w:rsid w:val="001C4039"/>
    <w:rsid w:val="001C45CE"/>
    <w:rsid w:val="001C4E64"/>
    <w:rsid w:val="001C6BDB"/>
    <w:rsid w:val="001C7F53"/>
    <w:rsid w:val="001D433A"/>
    <w:rsid w:val="001D46E3"/>
    <w:rsid w:val="001D5DB1"/>
    <w:rsid w:val="001D6C41"/>
    <w:rsid w:val="001D7DCD"/>
    <w:rsid w:val="001E7DD3"/>
    <w:rsid w:val="001F11D6"/>
    <w:rsid w:val="001F3AE2"/>
    <w:rsid w:val="002012B6"/>
    <w:rsid w:val="002036B1"/>
    <w:rsid w:val="00210598"/>
    <w:rsid w:val="002105A9"/>
    <w:rsid w:val="0021514D"/>
    <w:rsid w:val="0021522E"/>
    <w:rsid w:val="00215357"/>
    <w:rsid w:val="002176CB"/>
    <w:rsid w:val="00222B42"/>
    <w:rsid w:val="002238A0"/>
    <w:rsid w:val="00232B00"/>
    <w:rsid w:val="00234682"/>
    <w:rsid w:val="002347B4"/>
    <w:rsid w:val="00245A0F"/>
    <w:rsid w:val="00251128"/>
    <w:rsid w:val="00253745"/>
    <w:rsid w:val="002627FB"/>
    <w:rsid w:val="00262B23"/>
    <w:rsid w:val="0026559C"/>
    <w:rsid w:val="002662D6"/>
    <w:rsid w:val="00270342"/>
    <w:rsid w:val="002725EA"/>
    <w:rsid w:val="0027265A"/>
    <w:rsid w:val="002748E0"/>
    <w:rsid w:val="00275A17"/>
    <w:rsid w:val="00277E42"/>
    <w:rsid w:val="00281F45"/>
    <w:rsid w:val="002865E8"/>
    <w:rsid w:val="00286885"/>
    <w:rsid w:val="00292271"/>
    <w:rsid w:val="00295D36"/>
    <w:rsid w:val="00297195"/>
    <w:rsid w:val="00297601"/>
    <w:rsid w:val="002A045B"/>
    <w:rsid w:val="002A0839"/>
    <w:rsid w:val="002A1F75"/>
    <w:rsid w:val="002A6E46"/>
    <w:rsid w:val="002B3B8F"/>
    <w:rsid w:val="002B7687"/>
    <w:rsid w:val="002C25EC"/>
    <w:rsid w:val="002C40B7"/>
    <w:rsid w:val="002C6EBA"/>
    <w:rsid w:val="002D08CC"/>
    <w:rsid w:val="002D1439"/>
    <w:rsid w:val="002E2A70"/>
    <w:rsid w:val="002E4022"/>
    <w:rsid w:val="002E4A97"/>
    <w:rsid w:val="002E6CDA"/>
    <w:rsid w:val="002F25D9"/>
    <w:rsid w:val="00313793"/>
    <w:rsid w:val="00321F0D"/>
    <w:rsid w:val="00325771"/>
    <w:rsid w:val="00325995"/>
    <w:rsid w:val="0033312F"/>
    <w:rsid w:val="00333E1A"/>
    <w:rsid w:val="0033663A"/>
    <w:rsid w:val="00341049"/>
    <w:rsid w:val="003453FD"/>
    <w:rsid w:val="00350C4E"/>
    <w:rsid w:val="00361332"/>
    <w:rsid w:val="00366F36"/>
    <w:rsid w:val="00371616"/>
    <w:rsid w:val="00371F6F"/>
    <w:rsid w:val="00375078"/>
    <w:rsid w:val="003763EB"/>
    <w:rsid w:val="003772AB"/>
    <w:rsid w:val="0038252F"/>
    <w:rsid w:val="00386157"/>
    <w:rsid w:val="003876D2"/>
    <w:rsid w:val="003878AD"/>
    <w:rsid w:val="003879B7"/>
    <w:rsid w:val="0039476D"/>
    <w:rsid w:val="003948D0"/>
    <w:rsid w:val="003A0C51"/>
    <w:rsid w:val="003A3546"/>
    <w:rsid w:val="003A7BA0"/>
    <w:rsid w:val="003B42BE"/>
    <w:rsid w:val="003B731C"/>
    <w:rsid w:val="003C35C1"/>
    <w:rsid w:val="003C4E0E"/>
    <w:rsid w:val="003C509B"/>
    <w:rsid w:val="003C63A3"/>
    <w:rsid w:val="003C7C65"/>
    <w:rsid w:val="003D6210"/>
    <w:rsid w:val="003D6F27"/>
    <w:rsid w:val="003D7191"/>
    <w:rsid w:val="003E185E"/>
    <w:rsid w:val="003E7322"/>
    <w:rsid w:val="003F040F"/>
    <w:rsid w:val="003F1AF8"/>
    <w:rsid w:val="003F52D3"/>
    <w:rsid w:val="003F7FF9"/>
    <w:rsid w:val="004079E9"/>
    <w:rsid w:val="00410E0B"/>
    <w:rsid w:val="00412677"/>
    <w:rsid w:val="00412FEB"/>
    <w:rsid w:val="00420B84"/>
    <w:rsid w:val="00432DD1"/>
    <w:rsid w:val="00441E69"/>
    <w:rsid w:val="00446654"/>
    <w:rsid w:val="0044742C"/>
    <w:rsid w:val="00457556"/>
    <w:rsid w:val="00462360"/>
    <w:rsid w:val="0046254B"/>
    <w:rsid w:val="00467F6D"/>
    <w:rsid w:val="00471F04"/>
    <w:rsid w:val="0047247B"/>
    <w:rsid w:val="00472908"/>
    <w:rsid w:val="00472EF3"/>
    <w:rsid w:val="0048175D"/>
    <w:rsid w:val="004826BA"/>
    <w:rsid w:val="00486E62"/>
    <w:rsid w:val="004919E4"/>
    <w:rsid w:val="004925E8"/>
    <w:rsid w:val="00495772"/>
    <w:rsid w:val="004A3AAC"/>
    <w:rsid w:val="004A4E40"/>
    <w:rsid w:val="004A6D7E"/>
    <w:rsid w:val="004A74AC"/>
    <w:rsid w:val="004B2298"/>
    <w:rsid w:val="004B41F8"/>
    <w:rsid w:val="004B4D3F"/>
    <w:rsid w:val="004B7892"/>
    <w:rsid w:val="004C1CA7"/>
    <w:rsid w:val="004C2D86"/>
    <w:rsid w:val="004C5E38"/>
    <w:rsid w:val="004C6D80"/>
    <w:rsid w:val="004D1B86"/>
    <w:rsid w:val="004D3600"/>
    <w:rsid w:val="004D3E81"/>
    <w:rsid w:val="004D6476"/>
    <w:rsid w:val="004D6FB4"/>
    <w:rsid w:val="004E1EDD"/>
    <w:rsid w:val="004E494F"/>
    <w:rsid w:val="004E5A00"/>
    <w:rsid w:val="004F6092"/>
    <w:rsid w:val="004F6B1B"/>
    <w:rsid w:val="004F6F67"/>
    <w:rsid w:val="004F7559"/>
    <w:rsid w:val="00500089"/>
    <w:rsid w:val="005053F2"/>
    <w:rsid w:val="0050678B"/>
    <w:rsid w:val="00507A94"/>
    <w:rsid w:val="0051127A"/>
    <w:rsid w:val="005153DA"/>
    <w:rsid w:val="00515CFB"/>
    <w:rsid w:val="00515E50"/>
    <w:rsid w:val="00517C5B"/>
    <w:rsid w:val="00527216"/>
    <w:rsid w:val="00531E87"/>
    <w:rsid w:val="0054049B"/>
    <w:rsid w:val="0055037B"/>
    <w:rsid w:val="00551F5B"/>
    <w:rsid w:val="005533ED"/>
    <w:rsid w:val="00554DF4"/>
    <w:rsid w:val="00563753"/>
    <w:rsid w:val="005638F4"/>
    <w:rsid w:val="005658F4"/>
    <w:rsid w:val="00572BA5"/>
    <w:rsid w:val="00580CA8"/>
    <w:rsid w:val="00581978"/>
    <w:rsid w:val="00584CF0"/>
    <w:rsid w:val="00584DFA"/>
    <w:rsid w:val="005901EB"/>
    <w:rsid w:val="0059138F"/>
    <w:rsid w:val="00593984"/>
    <w:rsid w:val="005A4481"/>
    <w:rsid w:val="005A70F7"/>
    <w:rsid w:val="005B0C0F"/>
    <w:rsid w:val="005B206E"/>
    <w:rsid w:val="005B4221"/>
    <w:rsid w:val="005C10E9"/>
    <w:rsid w:val="005C2F0E"/>
    <w:rsid w:val="005C5134"/>
    <w:rsid w:val="005C6335"/>
    <w:rsid w:val="005C67B5"/>
    <w:rsid w:val="005C6FB3"/>
    <w:rsid w:val="005D0AB0"/>
    <w:rsid w:val="005E08E3"/>
    <w:rsid w:val="005E52C0"/>
    <w:rsid w:val="005F09D4"/>
    <w:rsid w:val="005F3C72"/>
    <w:rsid w:val="005F3E03"/>
    <w:rsid w:val="005F5DC4"/>
    <w:rsid w:val="005F6705"/>
    <w:rsid w:val="005F699E"/>
    <w:rsid w:val="00602889"/>
    <w:rsid w:val="00604D0E"/>
    <w:rsid w:val="00611056"/>
    <w:rsid w:val="00616962"/>
    <w:rsid w:val="00616E32"/>
    <w:rsid w:val="00622C89"/>
    <w:rsid w:val="00624B97"/>
    <w:rsid w:val="00631AAE"/>
    <w:rsid w:val="00632D72"/>
    <w:rsid w:val="006333BE"/>
    <w:rsid w:val="00635494"/>
    <w:rsid w:val="00636336"/>
    <w:rsid w:val="00644594"/>
    <w:rsid w:val="006503FB"/>
    <w:rsid w:val="006511D3"/>
    <w:rsid w:val="006565AB"/>
    <w:rsid w:val="00657881"/>
    <w:rsid w:val="00657F9B"/>
    <w:rsid w:val="006602C1"/>
    <w:rsid w:val="006622A0"/>
    <w:rsid w:val="00663D7D"/>
    <w:rsid w:val="00677E2C"/>
    <w:rsid w:val="00680174"/>
    <w:rsid w:val="00682CDA"/>
    <w:rsid w:val="00685E1D"/>
    <w:rsid w:val="00692218"/>
    <w:rsid w:val="00692470"/>
    <w:rsid w:val="00692853"/>
    <w:rsid w:val="006A4555"/>
    <w:rsid w:val="006A6546"/>
    <w:rsid w:val="006B002D"/>
    <w:rsid w:val="006B0ED0"/>
    <w:rsid w:val="006B12A7"/>
    <w:rsid w:val="006B17D5"/>
    <w:rsid w:val="006B3377"/>
    <w:rsid w:val="006B361F"/>
    <w:rsid w:val="006C11EC"/>
    <w:rsid w:val="006C3224"/>
    <w:rsid w:val="006C5EFB"/>
    <w:rsid w:val="006D3592"/>
    <w:rsid w:val="006D4BF2"/>
    <w:rsid w:val="006E0139"/>
    <w:rsid w:val="006E1756"/>
    <w:rsid w:val="006E5F40"/>
    <w:rsid w:val="006F0287"/>
    <w:rsid w:val="006F2BE7"/>
    <w:rsid w:val="006F3787"/>
    <w:rsid w:val="006F4D34"/>
    <w:rsid w:val="006F78FA"/>
    <w:rsid w:val="00700F43"/>
    <w:rsid w:val="00701828"/>
    <w:rsid w:val="00705F84"/>
    <w:rsid w:val="007153E1"/>
    <w:rsid w:val="00717D82"/>
    <w:rsid w:val="00725904"/>
    <w:rsid w:val="007268E6"/>
    <w:rsid w:val="00734FB9"/>
    <w:rsid w:val="00736732"/>
    <w:rsid w:val="00736BCA"/>
    <w:rsid w:val="00743EC4"/>
    <w:rsid w:val="007458BF"/>
    <w:rsid w:val="00745AFD"/>
    <w:rsid w:val="00747CD0"/>
    <w:rsid w:val="007517F2"/>
    <w:rsid w:val="00751C86"/>
    <w:rsid w:val="00752505"/>
    <w:rsid w:val="00752E99"/>
    <w:rsid w:val="00754396"/>
    <w:rsid w:val="00773AC1"/>
    <w:rsid w:val="007748A4"/>
    <w:rsid w:val="00776161"/>
    <w:rsid w:val="0079306C"/>
    <w:rsid w:val="00797D41"/>
    <w:rsid w:val="007A27CC"/>
    <w:rsid w:val="007A2E52"/>
    <w:rsid w:val="007A49D0"/>
    <w:rsid w:val="007A5046"/>
    <w:rsid w:val="007B1358"/>
    <w:rsid w:val="007B49A1"/>
    <w:rsid w:val="007B7313"/>
    <w:rsid w:val="007C3F8A"/>
    <w:rsid w:val="007D2969"/>
    <w:rsid w:val="007D2D90"/>
    <w:rsid w:val="007D5B18"/>
    <w:rsid w:val="007E4460"/>
    <w:rsid w:val="007F25D5"/>
    <w:rsid w:val="007F76FB"/>
    <w:rsid w:val="00801F50"/>
    <w:rsid w:val="00803FA4"/>
    <w:rsid w:val="0080728C"/>
    <w:rsid w:val="00815589"/>
    <w:rsid w:val="008208D1"/>
    <w:rsid w:val="0082478D"/>
    <w:rsid w:val="008314E6"/>
    <w:rsid w:val="00832CA8"/>
    <w:rsid w:val="0083304D"/>
    <w:rsid w:val="00833B78"/>
    <w:rsid w:val="008344AB"/>
    <w:rsid w:val="008434AA"/>
    <w:rsid w:val="00844728"/>
    <w:rsid w:val="00844B75"/>
    <w:rsid w:val="008454FF"/>
    <w:rsid w:val="0084652D"/>
    <w:rsid w:val="00846696"/>
    <w:rsid w:val="00852BD0"/>
    <w:rsid w:val="0085561E"/>
    <w:rsid w:val="00860ECF"/>
    <w:rsid w:val="008743D9"/>
    <w:rsid w:val="00882934"/>
    <w:rsid w:val="00882A92"/>
    <w:rsid w:val="00885E4B"/>
    <w:rsid w:val="008867C0"/>
    <w:rsid w:val="00887FAD"/>
    <w:rsid w:val="008920A3"/>
    <w:rsid w:val="0089777F"/>
    <w:rsid w:val="008A1F48"/>
    <w:rsid w:val="008A3B7D"/>
    <w:rsid w:val="008B1F3C"/>
    <w:rsid w:val="008B409F"/>
    <w:rsid w:val="008B4ADC"/>
    <w:rsid w:val="008B4FEF"/>
    <w:rsid w:val="008B625A"/>
    <w:rsid w:val="008C45F9"/>
    <w:rsid w:val="008D16DC"/>
    <w:rsid w:val="008D6389"/>
    <w:rsid w:val="008E20A2"/>
    <w:rsid w:val="008E56F7"/>
    <w:rsid w:val="008F25E6"/>
    <w:rsid w:val="008F39DE"/>
    <w:rsid w:val="008F658A"/>
    <w:rsid w:val="0090070E"/>
    <w:rsid w:val="00904C85"/>
    <w:rsid w:val="0091407F"/>
    <w:rsid w:val="00922EF3"/>
    <w:rsid w:val="0093422C"/>
    <w:rsid w:val="00934301"/>
    <w:rsid w:val="00935759"/>
    <w:rsid w:val="009413D9"/>
    <w:rsid w:val="00943C46"/>
    <w:rsid w:val="00946E45"/>
    <w:rsid w:val="00953E09"/>
    <w:rsid w:val="009578CB"/>
    <w:rsid w:val="00960A0B"/>
    <w:rsid w:val="00966956"/>
    <w:rsid w:val="009672A7"/>
    <w:rsid w:val="009708E1"/>
    <w:rsid w:val="00975142"/>
    <w:rsid w:val="00981E04"/>
    <w:rsid w:val="00985716"/>
    <w:rsid w:val="00985984"/>
    <w:rsid w:val="00985D65"/>
    <w:rsid w:val="00986153"/>
    <w:rsid w:val="00986739"/>
    <w:rsid w:val="00990B46"/>
    <w:rsid w:val="0099428B"/>
    <w:rsid w:val="00995F24"/>
    <w:rsid w:val="009A063C"/>
    <w:rsid w:val="009A0D34"/>
    <w:rsid w:val="009A5CA8"/>
    <w:rsid w:val="009B36A8"/>
    <w:rsid w:val="009B4EAA"/>
    <w:rsid w:val="009B6C8C"/>
    <w:rsid w:val="009C42F7"/>
    <w:rsid w:val="009C4A01"/>
    <w:rsid w:val="009C6666"/>
    <w:rsid w:val="009D00C3"/>
    <w:rsid w:val="009D25D2"/>
    <w:rsid w:val="009D4162"/>
    <w:rsid w:val="009D6AD0"/>
    <w:rsid w:val="009D7539"/>
    <w:rsid w:val="009E3918"/>
    <w:rsid w:val="009E65C7"/>
    <w:rsid w:val="009E6B6E"/>
    <w:rsid w:val="009F4A2D"/>
    <w:rsid w:val="009F6E03"/>
    <w:rsid w:val="00A016CA"/>
    <w:rsid w:val="00A0305C"/>
    <w:rsid w:val="00A04104"/>
    <w:rsid w:val="00A05E28"/>
    <w:rsid w:val="00A06DD9"/>
    <w:rsid w:val="00A14B8E"/>
    <w:rsid w:val="00A15ECC"/>
    <w:rsid w:val="00A16658"/>
    <w:rsid w:val="00A1708D"/>
    <w:rsid w:val="00A20304"/>
    <w:rsid w:val="00A2184F"/>
    <w:rsid w:val="00A21E06"/>
    <w:rsid w:val="00A228F1"/>
    <w:rsid w:val="00A23EDB"/>
    <w:rsid w:val="00A24141"/>
    <w:rsid w:val="00A24B8A"/>
    <w:rsid w:val="00A329BD"/>
    <w:rsid w:val="00A34B5D"/>
    <w:rsid w:val="00A34DDF"/>
    <w:rsid w:val="00A36113"/>
    <w:rsid w:val="00A3785F"/>
    <w:rsid w:val="00A4614E"/>
    <w:rsid w:val="00A51381"/>
    <w:rsid w:val="00A52D5B"/>
    <w:rsid w:val="00A53B44"/>
    <w:rsid w:val="00A570E3"/>
    <w:rsid w:val="00A606AF"/>
    <w:rsid w:val="00A66621"/>
    <w:rsid w:val="00A676C1"/>
    <w:rsid w:val="00A76FEC"/>
    <w:rsid w:val="00A7797A"/>
    <w:rsid w:val="00A81178"/>
    <w:rsid w:val="00A81963"/>
    <w:rsid w:val="00A864A9"/>
    <w:rsid w:val="00A86E16"/>
    <w:rsid w:val="00A910DA"/>
    <w:rsid w:val="00A92D83"/>
    <w:rsid w:val="00AA3ACB"/>
    <w:rsid w:val="00AA46D7"/>
    <w:rsid w:val="00AA5A1B"/>
    <w:rsid w:val="00AA6B35"/>
    <w:rsid w:val="00AA7B36"/>
    <w:rsid w:val="00AB5746"/>
    <w:rsid w:val="00AC20AC"/>
    <w:rsid w:val="00AC376E"/>
    <w:rsid w:val="00AC7984"/>
    <w:rsid w:val="00AD025B"/>
    <w:rsid w:val="00AD02BC"/>
    <w:rsid w:val="00AD55D8"/>
    <w:rsid w:val="00AD5E0B"/>
    <w:rsid w:val="00AD6AD8"/>
    <w:rsid w:val="00AE1E4A"/>
    <w:rsid w:val="00AF0E57"/>
    <w:rsid w:val="00AF16E6"/>
    <w:rsid w:val="00AF253D"/>
    <w:rsid w:val="00AF5950"/>
    <w:rsid w:val="00AF5B33"/>
    <w:rsid w:val="00B1093D"/>
    <w:rsid w:val="00B135FA"/>
    <w:rsid w:val="00B20501"/>
    <w:rsid w:val="00B23D0D"/>
    <w:rsid w:val="00B240C8"/>
    <w:rsid w:val="00B244EE"/>
    <w:rsid w:val="00B27D4A"/>
    <w:rsid w:val="00B33479"/>
    <w:rsid w:val="00B33BB9"/>
    <w:rsid w:val="00B348D2"/>
    <w:rsid w:val="00B35DE5"/>
    <w:rsid w:val="00B3686B"/>
    <w:rsid w:val="00B46953"/>
    <w:rsid w:val="00B46E33"/>
    <w:rsid w:val="00B509E8"/>
    <w:rsid w:val="00B52785"/>
    <w:rsid w:val="00B56A9A"/>
    <w:rsid w:val="00B57229"/>
    <w:rsid w:val="00B62D8D"/>
    <w:rsid w:val="00B67DE0"/>
    <w:rsid w:val="00B825F8"/>
    <w:rsid w:val="00B85E51"/>
    <w:rsid w:val="00B923C7"/>
    <w:rsid w:val="00B93B70"/>
    <w:rsid w:val="00BA6804"/>
    <w:rsid w:val="00BB044A"/>
    <w:rsid w:val="00BB0A5C"/>
    <w:rsid w:val="00BB3616"/>
    <w:rsid w:val="00BB361E"/>
    <w:rsid w:val="00BB5B43"/>
    <w:rsid w:val="00BC20E3"/>
    <w:rsid w:val="00BC2C94"/>
    <w:rsid w:val="00BC49AF"/>
    <w:rsid w:val="00BC5383"/>
    <w:rsid w:val="00BC6BF1"/>
    <w:rsid w:val="00BD06E6"/>
    <w:rsid w:val="00BD18FC"/>
    <w:rsid w:val="00BD21B0"/>
    <w:rsid w:val="00BD4ADD"/>
    <w:rsid w:val="00BE5E47"/>
    <w:rsid w:val="00BF0ADB"/>
    <w:rsid w:val="00BF2441"/>
    <w:rsid w:val="00BF4064"/>
    <w:rsid w:val="00BF4148"/>
    <w:rsid w:val="00C00DCA"/>
    <w:rsid w:val="00C0233E"/>
    <w:rsid w:val="00C0292A"/>
    <w:rsid w:val="00C02D9C"/>
    <w:rsid w:val="00C04359"/>
    <w:rsid w:val="00C07902"/>
    <w:rsid w:val="00C10AF1"/>
    <w:rsid w:val="00C112ED"/>
    <w:rsid w:val="00C114EE"/>
    <w:rsid w:val="00C15983"/>
    <w:rsid w:val="00C15C04"/>
    <w:rsid w:val="00C173B6"/>
    <w:rsid w:val="00C21965"/>
    <w:rsid w:val="00C225E7"/>
    <w:rsid w:val="00C24613"/>
    <w:rsid w:val="00C256DE"/>
    <w:rsid w:val="00C25C9C"/>
    <w:rsid w:val="00C34DC6"/>
    <w:rsid w:val="00C36E41"/>
    <w:rsid w:val="00C45A87"/>
    <w:rsid w:val="00C548AD"/>
    <w:rsid w:val="00C55BD1"/>
    <w:rsid w:val="00C57EA7"/>
    <w:rsid w:val="00C600A8"/>
    <w:rsid w:val="00C6075A"/>
    <w:rsid w:val="00C662D0"/>
    <w:rsid w:val="00C74D65"/>
    <w:rsid w:val="00C94DCB"/>
    <w:rsid w:val="00CA1B55"/>
    <w:rsid w:val="00CA1F66"/>
    <w:rsid w:val="00CA5DC7"/>
    <w:rsid w:val="00CA781E"/>
    <w:rsid w:val="00CB6C77"/>
    <w:rsid w:val="00CC02EE"/>
    <w:rsid w:val="00CC0741"/>
    <w:rsid w:val="00CC6E3D"/>
    <w:rsid w:val="00CC7AB1"/>
    <w:rsid w:val="00CC7D27"/>
    <w:rsid w:val="00CD4004"/>
    <w:rsid w:val="00CD5E68"/>
    <w:rsid w:val="00CD70F8"/>
    <w:rsid w:val="00CE6338"/>
    <w:rsid w:val="00CE6805"/>
    <w:rsid w:val="00CF2F30"/>
    <w:rsid w:val="00CF4057"/>
    <w:rsid w:val="00CF5325"/>
    <w:rsid w:val="00CF6566"/>
    <w:rsid w:val="00D007EE"/>
    <w:rsid w:val="00D0347F"/>
    <w:rsid w:val="00D07566"/>
    <w:rsid w:val="00D11C73"/>
    <w:rsid w:val="00D12DEE"/>
    <w:rsid w:val="00D14EC3"/>
    <w:rsid w:val="00D15FDF"/>
    <w:rsid w:val="00D22014"/>
    <w:rsid w:val="00D230E7"/>
    <w:rsid w:val="00D23F5E"/>
    <w:rsid w:val="00D25FE7"/>
    <w:rsid w:val="00D30CB6"/>
    <w:rsid w:val="00D33272"/>
    <w:rsid w:val="00D355A8"/>
    <w:rsid w:val="00D40ECF"/>
    <w:rsid w:val="00D41595"/>
    <w:rsid w:val="00D4295E"/>
    <w:rsid w:val="00D435D0"/>
    <w:rsid w:val="00D618C8"/>
    <w:rsid w:val="00D645C3"/>
    <w:rsid w:val="00D64A35"/>
    <w:rsid w:val="00D702A2"/>
    <w:rsid w:val="00D71869"/>
    <w:rsid w:val="00D75379"/>
    <w:rsid w:val="00D81600"/>
    <w:rsid w:val="00D828A4"/>
    <w:rsid w:val="00D834CC"/>
    <w:rsid w:val="00D85C90"/>
    <w:rsid w:val="00D8629A"/>
    <w:rsid w:val="00D87925"/>
    <w:rsid w:val="00D930DE"/>
    <w:rsid w:val="00D94BB0"/>
    <w:rsid w:val="00D97CFA"/>
    <w:rsid w:val="00DA41C3"/>
    <w:rsid w:val="00DA50E0"/>
    <w:rsid w:val="00DA56BC"/>
    <w:rsid w:val="00DA79C2"/>
    <w:rsid w:val="00DB0651"/>
    <w:rsid w:val="00DB0910"/>
    <w:rsid w:val="00DB1BC2"/>
    <w:rsid w:val="00DB1BC4"/>
    <w:rsid w:val="00DB3EBC"/>
    <w:rsid w:val="00DB609C"/>
    <w:rsid w:val="00DB748E"/>
    <w:rsid w:val="00DB7F91"/>
    <w:rsid w:val="00DC778D"/>
    <w:rsid w:val="00DC7CFB"/>
    <w:rsid w:val="00DD0075"/>
    <w:rsid w:val="00DE0540"/>
    <w:rsid w:val="00DE06C1"/>
    <w:rsid w:val="00DE1812"/>
    <w:rsid w:val="00DE7D34"/>
    <w:rsid w:val="00DF1B69"/>
    <w:rsid w:val="00DF1C32"/>
    <w:rsid w:val="00DF3CA5"/>
    <w:rsid w:val="00DF440C"/>
    <w:rsid w:val="00DF5366"/>
    <w:rsid w:val="00E008BA"/>
    <w:rsid w:val="00E01D98"/>
    <w:rsid w:val="00E04989"/>
    <w:rsid w:val="00E12CEE"/>
    <w:rsid w:val="00E146C2"/>
    <w:rsid w:val="00E15784"/>
    <w:rsid w:val="00E164C8"/>
    <w:rsid w:val="00E20724"/>
    <w:rsid w:val="00E241CA"/>
    <w:rsid w:val="00E27075"/>
    <w:rsid w:val="00E35777"/>
    <w:rsid w:val="00E358BA"/>
    <w:rsid w:val="00E36F86"/>
    <w:rsid w:val="00E44AF9"/>
    <w:rsid w:val="00E44C2E"/>
    <w:rsid w:val="00E50AC6"/>
    <w:rsid w:val="00E50EC7"/>
    <w:rsid w:val="00E63DFC"/>
    <w:rsid w:val="00E64670"/>
    <w:rsid w:val="00E65A00"/>
    <w:rsid w:val="00E678FD"/>
    <w:rsid w:val="00E70527"/>
    <w:rsid w:val="00E718AF"/>
    <w:rsid w:val="00E725BF"/>
    <w:rsid w:val="00E803A2"/>
    <w:rsid w:val="00E8626A"/>
    <w:rsid w:val="00E9195F"/>
    <w:rsid w:val="00E91DD0"/>
    <w:rsid w:val="00E94D1A"/>
    <w:rsid w:val="00E94EB2"/>
    <w:rsid w:val="00EA04CC"/>
    <w:rsid w:val="00EA0A97"/>
    <w:rsid w:val="00EA0C34"/>
    <w:rsid w:val="00EA5EC2"/>
    <w:rsid w:val="00EA7420"/>
    <w:rsid w:val="00EB2BA0"/>
    <w:rsid w:val="00EB5E68"/>
    <w:rsid w:val="00EC1E1A"/>
    <w:rsid w:val="00EC2556"/>
    <w:rsid w:val="00EC780D"/>
    <w:rsid w:val="00ED1247"/>
    <w:rsid w:val="00ED4095"/>
    <w:rsid w:val="00ED5D8B"/>
    <w:rsid w:val="00ED6151"/>
    <w:rsid w:val="00ED6DBC"/>
    <w:rsid w:val="00EF3C1E"/>
    <w:rsid w:val="00EF734D"/>
    <w:rsid w:val="00F01424"/>
    <w:rsid w:val="00F029B9"/>
    <w:rsid w:val="00F06C20"/>
    <w:rsid w:val="00F106A2"/>
    <w:rsid w:val="00F13636"/>
    <w:rsid w:val="00F13C4E"/>
    <w:rsid w:val="00F14BBB"/>
    <w:rsid w:val="00F161B4"/>
    <w:rsid w:val="00F16325"/>
    <w:rsid w:val="00F16650"/>
    <w:rsid w:val="00F21824"/>
    <w:rsid w:val="00F21EEF"/>
    <w:rsid w:val="00F22946"/>
    <w:rsid w:val="00F24646"/>
    <w:rsid w:val="00F3016C"/>
    <w:rsid w:val="00F3060A"/>
    <w:rsid w:val="00F32EE8"/>
    <w:rsid w:val="00F33CB8"/>
    <w:rsid w:val="00F33F53"/>
    <w:rsid w:val="00F34CDE"/>
    <w:rsid w:val="00F358AA"/>
    <w:rsid w:val="00F3600B"/>
    <w:rsid w:val="00F513DE"/>
    <w:rsid w:val="00F52041"/>
    <w:rsid w:val="00F53BF8"/>
    <w:rsid w:val="00F562AA"/>
    <w:rsid w:val="00F61B97"/>
    <w:rsid w:val="00F62340"/>
    <w:rsid w:val="00F640CA"/>
    <w:rsid w:val="00F649D1"/>
    <w:rsid w:val="00F67CB9"/>
    <w:rsid w:val="00F762B6"/>
    <w:rsid w:val="00F779FF"/>
    <w:rsid w:val="00F77B76"/>
    <w:rsid w:val="00F82D8C"/>
    <w:rsid w:val="00F971E9"/>
    <w:rsid w:val="00FA786A"/>
    <w:rsid w:val="00FA7EE7"/>
    <w:rsid w:val="00FC066D"/>
    <w:rsid w:val="00FC3DFA"/>
    <w:rsid w:val="00FC5597"/>
    <w:rsid w:val="00FC5896"/>
    <w:rsid w:val="00FD1CD5"/>
    <w:rsid w:val="00FD388A"/>
    <w:rsid w:val="00FD3F14"/>
    <w:rsid w:val="00FD5EE6"/>
    <w:rsid w:val="00FE2ED3"/>
    <w:rsid w:val="00FE7893"/>
    <w:rsid w:val="00FF0E7C"/>
    <w:rsid w:val="00FF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B35"/>
    <w:rPr>
      <w:sz w:val="18"/>
      <w:szCs w:val="18"/>
    </w:rPr>
  </w:style>
  <w:style w:type="paragraph" w:styleId="a4">
    <w:name w:val="footer"/>
    <w:basedOn w:val="a"/>
    <w:link w:val="Char0"/>
    <w:uiPriority w:val="99"/>
    <w:unhideWhenUsed/>
    <w:rsid w:val="00AA6B35"/>
    <w:pPr>
      <w:tabs>
        <w:tab w:val="center" w:pos="4153"/>
        <w:tab w:val="right" w:pos="8306"/>
      </w:tabs>
      <w:snapToGrid w:val="0"/>
      <w:jc w:val="left"/>
    </w:pPr>
    <w:rPr>
      <w:sz w:val="18"/>
      <w:szCs w:val="18"/>
    </w:rPr>
  </w:style>
  <w:style w:type="character" w:customStyle="1" w:styleId="Char0">
    <w:name w:val="页脚 Char"/>
    <w:basedOn w:val="a0"/>
    <w:link w:val="a4"/>
    <w:uiPriority w:val="99"/>
    <w:rsid w:val="00AA6B35"/>
    <w:rPr>
      <w:sz w:val="18"/>
      <w:szCs w:val="18"/>
    </w:rPr>
  </w:style>
  <w:style w:type="paragraph" w:styleId="a5">
    <w:name w:val="List Paragraph"/>
    <w:basedOn w:val="a"/>
    <w:link w:val="Char1"/>
    <w:qFormat/>
    <w:rsid w:val="00E70527"/>
    <w:pPr>
      <w:ind w:firstLineChars="200" w:firstLine="420"/>
    </w:pPr>
  </w:style>
  <w:style w:type="paragraph" w:styleId="a6">
    <w:name w:val="Date"/>
    <w:basedOn w:val="a"/>
    <w:next w:val="a"/>
    <w:link w:val="Char2"/>
    <w:uiPriority w:val="99"/>
    <w:semiHidden/>
    <w:unhideWhenUsed/>
    <w:rsid w:val="009C42F7"/>
    <w:pPr>
      <w:ind w:leftChars="2500" w:left="100"/>
    </w:pPr>
  </w:style>
  <w:style w:type="character" w:customStyle="1" w:styleId="Char2">
    <w:name w:val="日期 Char"/>
    <w:basedOn w:val="a0"/>
    <w:link w:val="a6"/>
    <w:uiPriority w:val="99"/>
    <w:semiHidden/>
    <w:rsid w:val="009C42F7"/>
  </w:style>
  <w:style w:type="paragraph" w:styleId="a7">
    <w:name w:val="Balloon Text"/>
    <w:basedOn w:val="a"/>
    <w:link w:val="Char3"/>
    <w:uiPriority w:val="99"/>
    <w:semiHidden/>
    <w:unhideWhenUsed/>
    <w:rsid w:val="006602C1"/>
    <w:rPr>
      <w:sz w:val="18"/>
      <w:szCs w:val="18"/>
    </w:rPr>
  </w:style>
  <w:style w:type="character" w:customStyle="1" w:styleId="Char3">
    <w:name w:val="批注框文本 Char"/>
    <w:basedOn w:val="a0"/>
    <w:link w:val="a7"/>
    <w:uiPriority w:val="99"/>
    <w:semiHidden/>
    <w:rsid w:val="006602C1"/>
    <w:rPr>
      <w:sz w:val="18"/>
      <w:szCs w:val="18"/>
    </w:rPr>
  </w:style>
  <w:style w:type="character" w:styleId="a8">
    <w:name w:val="annotation reference"/>
    <w:basedOn w:val="a0"/>
    <w:uiPriority w:val="99"/>
    <w:semiHidden/>
    <w:unhideWhenUsed/>
    <w:rsid w:val="004B4D3F"/>
    <w:rPr>
      <w:sz w:val="21"/>
      <w:szCs w:val="21"/>
    </w:rPr>
  </w:style>
  <w:style w:type="paragraph" w:styleId="a9">
    <w:name w:val="annotation text"/>
    <w:basedOn w:val="a"/>
    <w:link w:val="Char4"/>
    <w:uiPriority w:val="99"/>
    <w:semiHidden/>
    <w:unhideWhenUsed/>
    <w:rsid w:val="004B4D3F"/>
    <w:pPr>
      <w:jc w:val="left"/>
    </w:pPr>
  </w:style>
  <w:style w:type="character" w:customStyle="1" w:styleId="Char4">
    <w:name w:val="批注文字 Char"/>
    <w:basedOn w:val="a0"/>
    <w:link w:val="a9"/>
    <w:uiPriority w:val="99"/>
    <w:semiHidden/>
    <w:rsid w:val="004B4D3F"/>
  </w:style>
  <w:style w:type="paragraph" w:styleId="aa">
    <w:name w:val="annotation subject"/>
    <w:basedOn w:val="a9"/>
    <w:next w:val="a9"/>
    <w:link w:val="Char5"/>
    <w:uiPriority w:val="99"/>
    <w:semiHidden/>
    <w:unhideWhenUsed/>
    <w:rsid w:val="004B4D3F"/>
    <w:rPr>
      <w:b/>
      <w:bCs/>
    </w:rPr>
  </w:style>
  <w:style w:type="character" w:customStyle="1" w:styleId="Char5">
    <w:name w:val="批注主题 Char"/>
    <w:basedOn w:val="Char4"/>
    <w:link w:val="aa"/>
    <w:uiPriority w:val="99"/>
    <w:semiHidden/>
    <w:rsid w:val="004B4D3F"/>
    <w:rPr>
      <w:b/>
      <w:bCs/>
    </w:rPr>
  </w:style>
  <w:style w:type="paragraph" w:styleId="ab">
    <w:name w:val="Revision"/>
    <w:hidden/>
    <w:uiPriority w:val="99"/>
    <w:semiHidden/>
    <w:rsid w:val="00B27D4A"/>
  </w:style>
  <w:style w:type="character" w:customStyle="1" w:styleId="Char6">
    <w:name w:val="纯文本 Char"/>
    <w:link w:val="ac"/>
    <w:rsid w:val="0008727D"/>
    <w:rPr>
      <w:rFonts w:ascii="宋体" w:hAnsi="Courier New" w:cs="Courier New"/>
      <w:szCs w:val="21"/>
    </w:rPr>
  </w:style>
  <w:style w:type="paragraph" w:styleId="ac">
    <w:name w:val="Plain Text"/>
    <w:basedOn w:val="a"/>
    <w:link w:val="Char6"/>
    <w:rsid w:val="0008727D"/>
    <w:rPr>
      <w:rFonts w:ascii="宋体" w:hAnsi="Courier New" w:cs="Courier New"/>
      <w:szCs w:val="21"/>
    </w:rPr>
  </w:style>
  <w:style w:type="character" w:customStyle="1" w:styleId="Char10">
    <w:name w:val="纯文本 Char1"/>
    <w:basedOn w:val="a0"/>
    <w:uiPriority w:val="99"/>
    <w:semiHidden/>
    <w:rsid w:val="0008727D"/>
    <w:rPr>
      <w:rFonts w:ascii="宋体" w:eastAsia="宋体" w:hAnsi="Courier New" w:cs="Courier New"/>
      <w:szCs w:val="21"/>
    </w:rPr>
  </w:style>
  <w:style w:type="character" w:customStyle="1" w:styleId="Char1">
    <w:name w:val="列出段落 Char"/>
    <w:link w:val="a5"/>
    <w:rsid w:val="00A66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B35"/>
    <w:rPr>
      <w:sz w:val="18"/>
      <w:szCs w:val="18"/>
    </w:rPr>
  </w:style>
  <w:style w:type="paragraph" w:styleId="a4">
    <w:name w:val="footer"/>
    <w:basedOn w:val="a"/>
    <w:link w:val="Char0"/>
    <w:uiPriority w:val="99"/>
    <w:unhideWhenUsed/>
    <w:rsid w:val="00AA6B35"/>
    <w:pPr>
      <w:tabs>
        <w:tab w:val="center" w:pos="4153"/>
        <w:tab w:val="right" w:pos="8306"/>
      </w:tabs>
      <w:snapToGrid w:val="0"/>
      <w:jc w:val="left"/>
    </w:pPr>
    <w:rPr>
      <w:sz w:val="18"/>
      <w:szCs w:val="18"/>
    </w:rPr>
  </w:style>
  <w:style w:type="character" w:customStyle="1" w:styleId="Char0">
    <w:name w:val="页脚 Char"/>
    <w:basedOn w:val="a0"/>
    <w:link w:val="a4"/>
    <w:uiPriority w:val="99"/>
    <w:rsid w:val="00AA6B35"/>
    <w:rPr>
      <w:sz w:val="18"/>
      <w:szCs w:val="18"/>
    </w:rPr>
  </w:style>
  <w:style w:type="paragraph" w:styleId="a5">
    <w:name w:val="List Paragraph"/>
    <w:basedOn w:val="a"/>
    <w:link w:val="Char1"/>
    <w:qFormat/>
    <w:rsid w:val="00E70527"/>
    <w:pPr>
      <w:ind w:firstLineChars="200" w:firstLine="420"/>
    </w:pPr>
  </w:style>
  <w:style w:type="paragraph" w:styleId="a6">
    <w:name w:val="Date"/>
    <w:basedOn w:val="a"/>
    <w:next w:val="a"/>
    <w:link w:val="Char2"/>
    <w:uiPriority w:val="99"/>
    <w:semiHidden/>
    <w:unhideWhenUsed/>
    <w:rsid w:val="009C42F7"/>
    <w:pPr>
      <w:ind w:leftChars="2500" w:left="100"/>
    </w:pPr>
  </w:style>
  <w:style w:type="character" w:customStyle="1" w:styleId="Char2">
    <w:name w:val="日期 Char"/>
    <w:basedOn w:val="a0"/>
    <w:link w:val="a6"/>
    <w:uiPriority w:val="99"/>
    <w:semiHidden/>
    <w:rsid w:val="009C42F7"/>
  </w:style>
  <w:style w:type="paragraph" w:styleId="a7">
    <w:name w:val="Balloon Text"/>
    <w:basedOn w:val="a"/>
    <w:link w:val="Char3"/>
    <w:uiPriority w:val="99"/>
    <w:semiHidden/>
    <w:unhideWhenUsed/>
    <w:rsid w:val="006602C1"/>
    <w:rPr>
      <w:sz w:val="18"/>
      <w:szCs w:val="18"/>
    </w:rPr>
  </w:style>
  <w:style w:type="character" w:customStyle="1" w:styleId="Char3">
    <w:name w:val="批注框文本 Char"/>
    <w:basedOn w:val="a0"/>
    <w:link w:val="a7"/>
    <w:uiPriority w:val="99"/>
    <w:semiHidden/>
    <w:rsid w:val="006602C1"/>
    <w:rPr>
      <w:sz w:val="18"/>
      <w:szCs w:val="18"/>
    </w:rPr>
  </w:style>
  <w:style w:type="character" w:styleId="a8">
    <w:name w:val="annotation reference"/>
    <w:basedOn w:val="a0"/>
    <w:uiPriority w:val="99"/>
    <w:semiHidden/>
    <w:unhideWhenUsed/>
    <w:rsid w:val="004B4D3F"/>
    <w:rPr>
      <w:sz w:val="21"/>
      <w:szCs w:val="21"/>
    </w:rPr>
  </w:style>
  <w:style w:type="paragraph" w:styleId="a9">
    <w:name w:val="annotation text"/>
    <w:basedOn w:val="a"/>
    <w:link w:val="Char4"/>
    <w:uiPriority w:val="99"/>
    <w:semiHidden/>
    <w:unhideWhenUsed/>
    <w:rsid w:val="004B4D3F"/>
    <w:pPr>
      <w:jc w:val="left"/>
    </w:pPr>
  </w:style>
  <w:style w:type="character" w:customStyle="1" w:styleId="Char4">
    <w:name w:val="批注文字 Char"/>
    <w:basedOn w:val="a0"/>
    <w:link w:val="a9"/>
    <w:uiPriority w:val="99"/>
    <w:semiHidden/>
    <w:rsid w:val="004B4D3F"/>
  </w:style>
  <w:style w:type="paragraph" w:styleId="aa">
    <w:name w:val="annotation subject"/>
    <w:basedOn w:val="a9"/>
    <w:next w:val="a9"/>
    <w:link w:val="Char5"/>
    <w:uiPriority w:val="99"/>
    <w:semiHidden/>
    <w:unhideWhenUsed/>
    <w:rsid w:val="004B4D3F"/>
    <w:rPr>
      <w:b/>
      <w:bCs/>
    </w:rPr>
  </w:style>
  <w:style w:type="character" w:customStyle="1" w:styleId="Char5">
    <w:name w:val="批注主题 Char"/>
    <w:basedOn w:val="Char4"/>
    <w:link w:val="aa"/>
    <w:uiPriority w:val="99"/>
    <w:semiHidden/>
    <w:rsid w:val="004B4D3F"/>
    <w:rPr>
      <w:b/>
      <w:bCs/>
    </w:rPr>
  </w:style>
  <w:style w:type="paragraph" w:styleId="ab">
    <w:name w:val="Revision"/>
    <w:hidden/>
    <w:uiPriority w:val="99"/>
    <w:semiHidden/>
    <w:rsid w:val="00B27D4A"/>
  </w:style>
  <w:style w:type="character" w:customStyle="1" w:styleId="Char6">
    <w:name w:val="纯文本 Char"/>
    <w:link w:val="ac"/>
    <w:rsid w:val="0008727D"/>
    <w:rPr>
      <w:rFonts w:ascii="宋体" w:hAnsi="Courier New" w:cs="Courier New"/>
      <w:szCs w:val="21"/>
    </w:rPr>
  </w:style>
  <w:style w:type="paragraph" w:styleId="ac">
    <w:name w:val="Plain Text"/>
    <w:basedOn w:val="a"/>
    <w:link w:val="Char6"/>
    <w:rsid w:val="0008727D"/>
    <w:rPr>
      <w:rFonts w:ascii="宋体" w:hAnsi="Courier New" w:cs="Courier New"/>
      <w:szCs w:val="21"/>
    </w:rPr>
  </w:style>
  <w:style w:type="character" w:customStyle="1" w:styleId="Char10">
    <w:name w:val="纯文本 Char1"/>
    <w:basedOn w:val="a0"/>
    <w:uiPriority w:val="99"/>
    <w:semiHidden/>
    <w:rsid w:val="0008727D"/>
    <w:rPr>
      <w:rFonts w:ascii="宋体" w:eastAsia="宋体" w:hAnsi="Courier New" w:cs="Courier New"/>
      <w:szCs w:val="21"/>
    </w:rPr>
  </w:style>
  <w:style w:type="character" w:customStyle="1" w:styleId="Char1">
    <w:name w:val="列出段落 Char"/>
    <w:link w:val="a5"/>
    <w:rsid w:val="00A6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85376">
      <w:bodyDiv w:val="1"/>
      <w:marLeft w:val="0"/>
      <w:marRight w:val="0"/>
      <w:marTop w:val="0"/>
      <w:marBottom w:val="0"/>
      <w:divBdr>
        <w:top w:val="none" w:sz="0" w:space="0" w:color="auto"/>
        <w:left w:val="none" w:sz="0" w:space="0" w:color="auto"/>
        <w:bottom w:val="none" w:sz="0" w:space="0" w:color="auto"/>
        <w:right w:val="none" w:sz="0" w:space="0" w:color="auto"/>
      </w:divBdr>
    </w:div>
    <w:div w:id="635791766">
      <w:bodyDiv w:val="1"/>
      <w:marLeft w:val="0"/>
      <w:marRight w:val="0"/>
      <w:marTop w:val="0"/>
      <w:marBottom w:val="0"/>
      <w:divBdr>
        <w:top w:val="none" w:sz="0" w:space="0" w:color="auto"/>
        <w:left w:val="none" w:sz="0" w:space="0" w:color="auto"/>
        <w:bottom w:val="none" w:sz="0" w:space="0" w:color="auto"/>
        <w:right w:val="none" w:sz="0" w:space="0" w:color="auto"/>
      </w:divBdr>
    </w:div>
    <w:div w:id="816796496">
      <w:bodyDiv w:val="1"/>
      <w:marLeft w:val="0"/>
      <w:marRight w:val="0"/>
      <w:marTop w:val="0"/>
      <w:marBottom w:val="0"/>
      <w:divBdr>
        <w:top w:val="none" w:sz="0" w:space="0" w:color="auto"/>
        <w:left w:val="none" w:sz="0" w:space="0" w:color="auto"/>
        <w:bottom w:val="none" w:sz="0" w:space="0" w:color="auto"/>
        <w:right w:val="none" w:sz="0" w:space="0" w:color="auto"/>
      </w:divBdr>
    </w:div>
    <w:div w:id="1607152664">
      <w:bodyDiv w:val="1"/>
      <w:marLeft w:val="0"/>
      <w:marRight w:val="0"/>
      <w:marTop w:val="0"/>
      <w:marBottom w:val="0"/>
      <w:divBdr>
        <w:top w:val="none" w:sz="0" w:space="0" w:color="auto"/>
        <w:left w:val="none" w:sz="0" w:space="0" w:color="auto"/>
        <w:bottom w:val="none" w:sz="0" w:space="0" w:color="auto"/>
        <w:right w:val="none" w:sz="0" w:space="0" w:color="auto"/>
      </w:divBdr>
    </w:div>
    <w:div w:id="1804686642">
      <w:bodyDiv w:val="1"/>
      <w:marLeft w:val="0"/>
      <w:marRight w:val="0"/>
      <w:marTop w:val="0"/>
      <w:marBottom w:val="0"/>
      <w:divBdr>
        <w:top w:val="none" w:sz="0" w:space="0" w:color="auto"/>
        <w:left w:val="none" w:sz="0" w:space="0" w:color="auto"/>
        <w:bottom w:val="none" w:sz="0" w:space="0" w:color="auto"/>
        <w:right w:val="none" w:sz="0" w:space="0" w:color="auto"/>
      </w:divBdr>
    </w:div>
    <w:div w:id="1877307946">
      <w:bodyDiv w:val="1"/>
      <w:marLeft w:val="0"/>
      <w:marRight w:val="0"/>
      <w:marTop w:val="0"/>
      <w:marBottom w:val="0"/>
      <w:divBdr>
        <w:top w:val="none" w:sz="0" w:space="0" w:color="auto"/>
        <w:left w:val="none" w:sz="0" w:space="0" w:color="auto"/>
        <w:bottom w:val="none" w:sz="0" w:space="0" w:color="auto"/>
        <w:right w:val="none" w:sz="0" w:space="0" w:color="auto"/>
      </w:divBdr>
    </w:div>
    <w:div w:id="21199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44141-FF96-49F4-89DD-54A6CCAB15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DB585C-41DD-4242-AD92-ABC19A8A76AA}">
  <ds:schemaRefs>
    <ds:schemaRef ds:uri="http://schemas.microsoft.com/sharepoint/v3/contenttype/forms"/>
  </ds:schemaRefs>
</ds:datastoreItem>
</file>

<file path=customXml/itemProps3.xml><?xml version="1.0" encoding="utf-8"?>
<ds:datastoreItem xmlns:ds="http://schemas.openxmlformats.org/officeDocument/2006/customXml" ds:itemID="{1812701C-B502-4CF9-B637-0D6F657F1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3CDE7F-44CF-48F4-B5A6-6B543338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225</TotalTime>
  <Pages>10</Pages>
  <Words>689</Words>
  <Characters>3932</Characters>
  <Application>Microsoft Office Word</Application>
  <DocSecurity>0</DocSecurity>
  <Lines>32</Lines>
  <Paragraphs>9</Paragraphs>
  <ScaleCrop>false</ScaleCrop>
  <Company>Hewlett-Packard Company</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zll</dc:creator>
  <cp:lastModifiedBy>郭冬青[dqguo.oth]</cp:lastModifiedBy>
  <cp:revision>12</cp:revision>
  <cp:lastPrinted>2019-04-19T07:21:00Z</cp:lastPrinted>
  <dcterms:created xsi:type="dcterms:W3CDTF">2020-03-13T09:39:00Z</dcterms:created>
  <dcterms:modified xsi:type="dcterms:W3CDTF">2020-04-27T09:13:00Z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ies>
</file>