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420"/>
        <w:gridCol w:w="204"/>
        <w:gridCol w:w="1198"/>
        <w:gridCol w:w="872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iCs w:val="0"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2021年12月24日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2022年采购打印耗材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255000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以实际支出为准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iCs w:val="0"/>
                <w:color w:val="000000"/>
                <w:kern w:val="0"/>
                <w:sz w:val="21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竞争性谈判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/成交人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北京琦跃成商贸有限责任公司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中标人是否为中小企业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北京琦跃成商贸有限责任公司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北京海润鑫源科贸有限公司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46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</w:rPr>
              <w:t>2022年打印耗材采购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项目集中采购合同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YWZjYjgzMGJmMDRjNzhjZWY1ZjY3NTE2ODkyZWMifQ=="/>
  </w:docVars>
  <w:rsids>
    <w:rsidRoot w:val="00000000"/>
    <w:rsid w:val="11D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2022-09-19T09:06:29Z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012599128669438BAD2EDBFB10A54F59</vt:lpwstr>
  </property>
</Properties>
</file>